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68" w:rsidRDefault="00BD2268">
      <w:r>
        <w:rPr>
          <w:noProof/>
          <w:lang w:val="en-US"/>
        </w:rPr>
        <w:drawing>
          <wp:anchor distT="0" distB="0" distL="114300" distR="114300" simplePos="0" relativeHeight="251659264" behindDoc="0" locked="0" layoutInCell="1" allowOverlap="1">
            <wp:simplePos x="0" y="0"/>
            <wp:positionH relativeFrom="column">
              <wp:posOffset>1612900</wp:posOffset>
            </wp:positionH>
            <wp:positionV relativeFrom="paragraph">
              <wp:posOffset>-215900</wp:posOffset>
            </wp:positionV>
            <wp:extent cx="5168900" cy="1104900"/>
            <wp:effectExtent l="25400" t="0" r="0" b="0"/>
            <wp:wrapNone/>
            <wp:docPr id="5" name="" descr="Countyhoo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hookup.jpg"/>
                    <pic:cNvPicPr/>
                  </pic:nvPicPr>
                  <pic:blipFill>
                    <a:blip r:embed="rId8"/>
                    <a:stretch>
                      <a:fillRect/>
                    </a:stretch>
                  </pic:blipFill>
                  <pic:spPr>
                    <a:xfrm>
                      <a:off x="0" y="0"/>
                      <a:ext cx="5168900" cy="1104900"/>
                    </a:xfrm>
                    <a:prstGeom prst="rect">
                      <a:avLst/>
                    </a:prstGeom>
                  </pic:spPr>
                </pic:pic>
              </a:graphicData>
            </a:graphic>
          </wp:anchor>
        </w:drawing>
      </w:r>
    </w:p>
    <w:p w:rsidR="00BD2268" w:rsidRDefault="00BD2268"/>
    <w:p w:rsidR="00D671A6" w:rsidRDefault="00D671A6"/>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EC0"/>
        <w:tblLook w:val="04A0"/>
      </w:tblPr>
      <w:tblGrid>
        <w:gridCol w:w="1191"/>
        <w:gridCol w:w="4196"/>
        <w:gridCol w:w="1134"/>
        <w:gridCol w:w="3969"/>
      </w:tblGrid>
      <w:tr w:rsidR="00E820F5" w:rsidRPr="00256D12">
        <w:tc>
          <w:tcPr>
            <w:tcW w:w="10490" w:type="dxa"/>
            <w:gridSpan w:val="4"/>
            <w:shd w:val="clear" w:color="auto" w:fill="008EC0"/>
          </w:tcPr>
          <w:p w:rsidR="00E820F5" w:rsidRPr="00256D12" w:rsidRDefault="00E820F5" w:rsidP="00B967C3">
            <w:pPr>
              <w:spacing w:before="60" w:after="60"/>
              <w:jc w:val="both"/>
              <w:rPr>
                <w:b/>
                <w:color w:val="FFFFFF" w:themeColor="background1"/>
                <w:sz w:val="30"/>
                <w:szCs w:val="30"/>
              </w:rPr>
            </w:pPr>
            <w:r w:rsidRPr="00256D12">
              <w:rPr>
                <w:b/>
                <w:color w:val="FFFFFF" w:themeColor="background1"/>
                <w:sz w:val="30"/>
                <w:szCs w:val="30"/>
              </w:rPr>
              <w:t>Insurance Product Information Document</w:t>
            </w:r>
          </w:p>
        </w:tc>
      </w:tr>
      <w:tr w:rsidR="00E820F5" w:rsidRPr="00256D12">
        <w:tc>
          <w:tcPr>
            <w:tcW w:w="1191" w:type="dxa"/>
            <w:shd w:val="clear" w:color="auto" w:fill="008EC0"/>
          </w:tcPr>
          <w:p w:rsidR="00E820F5" w:rsidRPr="005C35E6" w:rsidRDefault="00E820F5" w:rsidP="00B967C3">
            <w:pPr>
              <w:spacing w:after="120"/>
              <w:jc w:val="both"/>
              <w:rPr>
                <w:b/>
                <w:color w:val="FFFFFF" w:themeColor="background1"/>
              </w:rPr>
            </w:pPr>
            <w:r w:rsidRPr="005C35E6">
              <w:rPr>
                <w:b/>
                <w:color w:val="FFFFFF" w:themeColor="background1"/>
              </w:rPr>
              <w:t xml:space="preserve">Company: </w:t>
            </w:r>
          </w:p>
        </w:tc>
        <w:tc>
          <w:tcPr>
            <w:tcW w:w="4196" w:type="dxa"/>
            <w:shd w:val="clear" w:color="auto" w:fill="008EC0"/>
          </w:tcPr>
          <w:p w:rsidR="00BD2268" w:rsidRPr="00BD2268" w:rsidRDefault="00BD2268" w:rsidP="00BD2268">
            <w:pPr>
              <w:spacing w:beforeLines="1" w:afterLines="1"/>
              <w:rPr>
                <w:rFonts w:ascii="Times" w:hAnsi="Times" w:cs="Times New Roman"/>
                <w:sz w:val="20"/>
                <w:szCs w:val="20"/>
              </w:rPr>
            </w:pPr>
            <w:proofErr w:type="spellStart"/>
            <w:r w:rsidRPr="00BD2268">
              <w:rPr>
                <w:rFonts w:ascii="Calibri,Bold" w:hAnsi="Calibri,Bold" w:cs="Times New Roman"/>
                <w:color w:val="FFFFFF"/>
              </w:rPr>
              <w:t>Fairmead</w:t>
            </w:r>
            <w:proofErr w:type="spellEnd"/>
            <w:r w:rsidRPr="00BD2268">
              <w:rPr>
                <w:rFonts w:ascii="Calibri,Bold" w:hAnsi="Calibri,Bold" w:cs="Times New Roman"/>
                <w:color w:val="FFFFFF"/>
              </w:rPr>
              <w:t xml:space="preserve"> Insurance Limited </w:t>
            </w:r>
          </w:p>
          <w:p w:rsidR="00BD2268" w:rsidRPr="00BD2268" w:rsidRDefault="00BD2268" w:rsidP="00BD2268">
            <w:pPr>
              <w:spacing w:beforeLines="1" w:afterLines="1"/>
              <w:rPr>
                <w:rFonts w:ascii="Times" w:hAnsi="Times" w:cs="Times New Roman"/>
                <w:sz w:val="20"/>
                <w:szCs w:val="20"/>
              </w:rPr>
            </w:pPr>
            <w:proofErr w:type="spellStart"/>
            <w:r w:rsidRPr="00BD2268">
              <w:rPr>
                <w:rFonts w:ascii="Calibri" w:hAnsi="Calibri" w:cs="Times New Roman"/>
                <w:color w:val="FFFFFF"/>
                <w:sz w:val="16"/>
                <w:szCs w:val="16"/>
              </w:rPr>
              <w:t>Fairmead</w:t>
            </w:r>
            <w:proofErr w:type="spellEnd"/>
            <w:r w:rsidRPr="00BD2268">
              <w:rPr>
                <w:rFonts w:ascii="Calibri" w:hAnsi="Calibri" w:cs="Times New Roman"/>
                <w:color w:val="FFFFFF"/>
                <w:sz w:val="16"/>
                <w:szCs w:val="16"/>
              </w:rPr>
              <w:t xml:space="preserve"> Insurance Limited is authorised by the Prudential Regulation Authority and regulated by the Financial Conduct Authority and the Prudential Regulation Authority. Financial Services Register number 202050. Registered in England and Wales Number 00423930. Registered office: 57 </w:t>
            </w:r>
            <w:proofErr w:type="spellStart"/>
            <w:r w:rsidRPr="00BD2268">
              <w:rPr>
                <w:rFonts w:ascii="Calibri" w:hAnsi="Calibri" w:cs="Times New Roman"/>
                <w:color w:val="FFFFFF"/>
                <w:sz w:val="16"/>
                <w:szCs w:val="16"/>
              </w:rPr>
              <w:t>Ladymead</w:t>
            </w:r>
            <w:proofErr w:type="spellEnd"/>
            <w:r w:rsidRPr="00BD2268">
              <w:rPr>
                <w:rFonts w:ascii="Calibri" w:hAnsi="Calibri" w:cs="Times New Roman"/>
                <w:color w:val="FFFFFF"/>
                <w:sz w:val="16"/>
                <w:szCs w:val="16"/>
              </w:rPr>
              <w:t>, Guildford, Surrey, GU1 1DB.</w:t>
            </w:r>
            <w:r w:rsidRPr="00BD2268">
              <w:rPr>
                <w:rFonts w:ascii="Calibri" w:hAnsi="Calibri" w:cs="Times New Roman"/>
                <w:color w:val="FFFFFF"/>
                <w:sz w:val="16"/>
                <w:szCs w:val="16"/>
              </w:rPr>
              <w:br/>
            </w:r>
            <w:proofErr w:type="spellStart"/>
            <w:r w:rsidRPr="00BD2268">
              <w:rPr>
                <w:rFonts w:ascii="Calibri" w:hAnsi="Calibri" w:cs="Times New Roman"/>
                <w:color w:val="FFFFFF"/>
                <w:sz w:val="16"/>
                <w:szCs w:val="16"/>
              </w:rPr>
              <w:t>Fairmead</w:t>
            </w:r>
            <w:proofErr w:type="spellEnd"/>
            <w:r w:rsidRPr="00BD2268">
              <w:rPr>
                <w:rFonts w:ascii="Calibri" w:hAnsi="Calibri" w:cs="Times New Roman"/>
                <w:color w:val="FFFFFF"/>
                <w:sz w:val="16"/>
                <w:szCs w:val="16"/>
              </w:rPr>
              <w:t xml:space="preserve"> Insurance Limited is part of the Liverpool Victoria General Insurance Group. </w:t>
            </w:r>
          </w:p>
          <w:p w:rsidR="00C647F4" w:rsidRPr="000A4D61" w:rsidRDefault="00C647F4" w:rsidP="00B967C3">
            <w:pPr>
              <w:ind w:right="-108"/>
              <w:jc w:val="both"/>
              <w:rPr>
                <w:b/>
                <w:bCs/>
                <w:color w:val="FFFFFF" w:themeColor="background1"/>
              </w:rPr>
            </w:pPr>
          </w:p>
        </w:tc>
        <w:tc>
          <w:tcPr>
            <w:tcW w:w="1134" w:type="dxa"/>
            <w:shd w:val="clear" w:color="auto" w:fill="008EC0"/>
          </w:tcPr>
          <w:p w:rsidR="00E820F5" w:rsidRPr="00256D12" w:rsidRDefault="00E820F5" w:rsidP="000A4D61">
            <w:pPr>
              <w:ind w:left="1026" w:hanging="1026"/>
              <w:jc w:val="both"/>
              <w:rPr>
                <w:b/>
                <w:color w:val="FFFFFF" w:themeColor="background1"/>
              </w:rPr>
            </w:pPr>
            <w:r w:rsidRPr="00256D12">
              <w:rPr>
                <w:b/>
                <w:color w:val="FFFFFF" w:themeColor="background1"/>
              </w:rPr>
              <w:t xml:space="preserve">Product: </w:t>
            </w:r>
          </w:p>
        </w:tc>
        <w:tc>
          <w:tcPr>
            <w:tcW w:w="3969" w:type="dxa"/>
            <w:shd w:val="clear" w:color="auto" w:fill="008EC0"/>
          </w:tcPr>
          <w:p w:rsidR="00E820F5" w:rsidRPr="00256D12" w:rsidRDefault="0043654C" w:rsidP="00B967C3">
            <w:pPr>
              <w:jc w:val="both"/>
              <w:rPr>
                <w:b/>
                <w:color w:val="FFFFFF" w:themeColor="background1"/>
              </w:rPr>
            </w:pPr>
            <w:r>
              <w:rPr>
                <w:b/>
                <w:color w:val="FFFFFF" w:themeColor="background1"/>
              </w:rPr>
              <w:t>All Risks Home Insurance</w:t>
            </w:r>
          </w:p>
        </w:tc>
      </w:tr>
    </w:tbl>
    <w:p w:rsidR="00256D12" w:rsidRPr="005C3935" w:rsidRDefault="00256D12" w:rsidP="005C3935">
      <w:pPr>
        <w:spacing w:after="0"/>
        <w:jc w:val="both"/>
        <w:rPr>
          <w:sz w:val="18"/>
          <w:szCs w:val="18"/>
        </w:rPr>
      </w:pPr>
    </w:p>
    <w:p w:rsidR="003E56E9" w:rsidRPr="003E56E9" w:rsidRDefault="003E56E9" w:rsidP="003E56E9">
      <w:pPr>
        <w:autoSpaceDE w:val="0"/>
        <w:autoSpaceDN w:val="0"/>
        <w:adjustRightInd w:val="0"/>
        <w:spacing w:after="0" w:line="240" w:lineRule="auto"/>
        <w:rPr>
          <w:rFonts w:cs="Arial"/>
          <w:sz w:val="20"/>
          <w:szCs w:val="18"/>
          <w:lang w:eastAsia="en-GB"/>
        </w:rPr>
      </w:pPr>
      <w:r w:rsidRPr="003E56E9">
        <w:rPr>
          <w:rFonts w:cs="Arial"/>
          <w:sz w:val="20"/>
          <w:szCs w:val="18"/>
          <w:lang w:eastAsia="en-GB"/>
        </w:rPr>
        <w:t xml:space="preserve">This document provides a summary of the cover, exclusions and restrictions. </w:t>
      </w:r>
      <w:r w:rsidRPr="00DE4DB7">
        <w:rPr>
          <w:rFonts w:cs="Arial"/>
          <w:b/>
          <w:sz w:val="20"/>
          <w:szCs w:val="18"/>
          <w:lang w:eastAsia="en-GB"/>
        </w:rPr>
        <w:t>It is not personalised to your individual selections.</w:t>
      </w:r>
      <w:r w:rsidRPr="003E56E9">
        <w:rPr>
          <w:rFonts w:cs="Arial"/>
          <w:sz w:val="20"/>
          <w:szCs w:val="18"/>
          <w:lang w:eastAsia="en-GB"/>
        </w:rPr>
        <w:t xml:space="preserve"> The full terms and conditions of this insurance, including the general policy limits, can be found in the policy documents which are available on request. </w:t>
      </w:r>
    </w:p>
    <w:p w:rsidR="003E56E9" w:rsidRPr="003E56E9" w:rsidRDefault="003E56E9" w:rsidP="003E56E9">
      <w:pPr>
        <w:autoSpaceDE w:val="0"/>
        <w:autoSpaceDN w:val="0"/>
        <w:adjustRightInd w:val="0"/>
        <w:spacing w:after="0" w:line="240" w:lineRule="auto"/>
        <w:rPr>
          <w:rFonts w:cs="Arial"/>
          <w:sz w:val="20"/>
          <w:szCs w:val="18"/>
          <w:lang w:eastAsia="en-GB"/>
        </w:rPr>
      </w:pPr>
    </w:p>
    <w:p w:rsidR="003E56E9" w:rsidRPr="003E56E9" w:rsidRDefault="003E56E9" w:rsidP="003E56E9">
      <w:pPr>
        <w:autoSpaceDE w:val="0"/>
        <w:autoSpaceDN w:val="0"/>
        <w:adjustRightInd w:val="0"/>
        <w:spacing w:after="0" w:line="240" w:lineRule="auto"/>
        <w:rPr>
          <w:rFonts w:cs="Arial"/>
          <w:b/>
          <w:sz w:val="20"/>
          <w:szCs w:val="18"/>
          <w:lang w:eastAsia="en-GB"/>
        </w:rPr>
      </w:pPr>
      <w:r w:rsidRPr="003E56E9">
        <w:rPr>
          <w:rFonts w:cs="Arial"/>
          <w:b/>
          <w:sz w:val="20"/>
          <w:szCs w:val="18"/>
          <w:lang w:eastAsia="en-GB"/>
        </w:rPr>
        <w:t xml:space="preserve">What is this type of insurance? </w:t>
      </w:r>
    </w:p>
    <w:p w:rsidR="003E56E9" w:rsidRDefault="00DE4DB7" w:rsidP="003E56E9">
      <w:pPr>
        <w:autoSpaceDE w:val="0"/>
        <w:autoSpaceDN w:val="0"/>
        <w:adjustRightInd w:val="0"/>
        <w:spacing w:after="0" w:line="240" w:lineRule="auto"/>
        <w:rPr>
          <w:rFonts w:cs="Arial"/>
          <w:sz w:val="20"/>
          <w:szCs w:val="18"/>
          <w:lang w:eastAsia="en-GB"/>
        </w:rPr>
      </w:pPr>
      <w:r>
        <w:rPr>
          <w:rFonts w:cs="Arial"/>
          <w:sz w:val="20"/>
          <w:szCs w:val="18"/>
          <w:lang w:eastAsia="en-GB"/>
        </w:rPr>
        <w:t xml:space="preserve">This is a </w:t>
      </w:r>
      <w:r w:rsidRPr="00DE4DB7">
        <w:rPr>
          <w:rFonts w:cs="Arial"/>
          <w:sz w:val="20"/>
          <w:szCs w:val="18"/>
          <w:lang w:eastAsia="en-GB"/>
        </w:rPr>
        <w:t>household insurance policy to cover loss or damage to your home and/or contents and to pay for your liability to other people following accidents. Cover is provided for legal costs if you become involved in a dispute that is covered by this policy. Cover is provided for 24 hours a day for professional assistance with domestic emergencies</w:t>
      </w:r>
      <w:r w:rsidR="003E56E9" w:rsidRPr="003E56E9">
        <w:rPr>
          <w:rFonts w:cs="Arial"/>
          <w:sz w:val="20"/>
          <w:szCs w:val="18"/>
          <w:lang w:eastAsia="en-GB"/>
        </w:rPr>
        <w:t xml:space="preserve">. </w:t>
      </w:r>
      <w:r w:rsidR="003E56E9" w:rsidRPr="003E56E9">
        <w:rPr>
          <w:rFonts w:cs="Arial"/>
          <w:b/>
          <w:sz w:val="20"/>
          <w:szCs w:val="18"/>
          <w:lang w:eastAsia="en-GB"/>
        </w:rPr>
        <w:t>Cover may also vary based on the information you have provided to us.</w:t>
      </w:r>
      <w:r w:rsidR="003E56E9" w:rsidRPr="003E56E9">
        <w:rPr>
          <w:rFonts w:cs="Arial"/>
          <w:sz w:val="20"/>
          <w:szCs w:val="18"/>
          <w:lang w:eastAsia="en-GB"/>
        </w:rPr>
        <w:t xml:space="preserve"> </w:t>
      </w:r>
    </w:p>
    <w:p w:rsidR="000A4D61" w:rsidRDefault="000A4D61" w:rsidP="003E56E9">
      <w:pPr>
        <w:autoSpaceDE w:val="0"/>
        <w:autoSpaceDN w:val="0"/>
        <w:adjustRightInd w:val="0"/>
        <w:spacing w:after="0" w:line="240" w:lineRule="auto"/>
        <w:rPr>
          <w:rFonts w:cs="Arial"/>
          <w:sz w:val="20"/>
          <w:szCs w:val="18"/>
          <w:lang w:eastAsia="en-GB"/>
        </w:rPr>
      </w:pPr>
    </w:p>
    <w:p w:rsidR="000A4D61" w:rsidRPr="000A4D61" w:rsidRDefault="000A4D61" w:rsidP="000A4D61">
      <w:pPr>
        <w:pStyle w:val="ListParagraph"/>
        <w:widowControl w:val="0"/>
        <w:numPr>
          <w:ilvl w:val="0"/>
          <w:numId w:val="44"/>
        </w:numPr>
        <w:autoSpaceDE w:val="0"/>
        <w:autoSpaceDN w:val="0"/>
        <w:adjustRightInd w:val="0"/>
        <w:spacing w:before="1" w:after="0" w:line="240" w:lineRule="auto"/>
        <w:rPr>
          <w:rFonts w:eastAsia="Arial" w:cstheme="minorHAnsi"/>
          <w:sz w:val="20"/>
          <w:szCs w:val="26"/>
        </w:rPr>
      </w:pPr>
      <w:r w:rsidRPr="000A4D61">
        <w:rPr>
          <w:rFonts w:eastAsia="Arial" w:cstheme="minorHAnsi"/>
          <w:sz w:val="20"/>
          <w:szCs w:val="26"/>
        </w:rPr>
        <w:t>Buildings</w:t>
      </w:r>
      <w:r w:rsidRPr="000A4D61">
        <w:rPr>
          <w:rFonts w:ascii="Times New Roman" w:eastAsia="Times New Roman" w:hAnsi="Times New Roman" w:cs="Times New Roman"/>
          <w:sz w:val="18"/>
          <w:szCs w:val="18"/>
        </w:rPr>
        <w:t xml:space="preserve"> </w:t>
      </w:r>
      <w:r w:rsidRPr="000A4D61">
        <w:rPr>
          <w:rFonts w:eastAsia="Arial" w:cstheme="minorHAnsi"/>
          <w:sz w:val="20"/>
          <w:szCs w:val="26"/>
        </w:rPr>
        <w:t>includes:</w:t>
      </w:r>
    </w:p>
    <w:p w:rsidR="000A4D61" w:rsidRPr="001908CA" w:rsidRDefault="000A4D61" w:rsidP="000A4D61">
      <w:pPr>
        <w:pStyle w:val="ListParagraph"/>
        <w:widowControl w:val="0"/>
        <w:numPr>
          <w:ilvl w:val="1"/>
          <w:numId w:val="44"/>
        </w:numPr>
        <w:autoSpaceDE w:val="0"/>
        <w:autoSpaceDN w:val="0"/>
        <w:adjustRightInd w:val="0"/>
        <w:spacing w:before="1"/>
        <w:rPr>
          <w:rFonts w:eastAsia="Arial" w:cstheme="minorHAnsi"/>
          <w:sz w:val="20"/>
          <w:szCs w:val="26"/>
        </w:rPr>
      </w:pPr>
      <w:r w:rsidRPr="000A4D61">
        <w:rPr>
          <w:rFonts w:eastAsia="Arial" w:cstheme="minorHAnsi"/>
          <w:sz w:val="20"/>
          <w:szCs w:val="26"/>
        </w:rPr>
        <w:t xml:space="preserve">The physical structure of </w:t>
      </w:r>
      <w:r w:rsidRPr="001908CA">
        <w:rPr>
          <w:rFonts w:eastAsia="Arial" w:cstheme="minorHAnsi"/>
          <w:sz w:val="20"/>
          <w:szCs w:val="26"/>
        </w:rPr>
        <w:t>the home</w:t>
      </w:r>
    </w:p>
    <w:p w:rsidR="000A4D61" w:rsidRPr="001908CA" w:rsidRDefault="000A4D61" w:rsidP="000A4D61">
      <w:pPr>
        <w:pStyle w:val="ListParagraph"/>
        <w:widowControl w:val="0"/>
        <w:numPr>
          <w:ilvl w:val="1"/>
          <w:numId w:val="44"/>
        </w:numPr>
        <w:autoSpaceDE w:val="0"/>
        <w:autoSpaceDN w:val="0"/>
        <w:adjustRightInd w:val="0"/>
        <w:spacing w:before="1"/>
        <w:rPr>
          <w:rFonts w:eastAsia="Arial" w:cstheme="minorHAnsi"/>
          <w:sz w:val="20"/>
          <w:szCs w:val="26"/>
        </w:rPr>
      </w:pPr>
      <w:r w:rsidRPr="001908CA">
        <w:rPr>
          <w:rFonts w:eastAsia="Arial" w:cstheme="minorHAnsi"/>
          <w:sz w:val="20"/>
          <w:szCs w:val="26"/>
        </w:rPr>
        <w:t>The decorations, fixtures and fittings, including fixed glass and double glazing attached to the home</w:t>
      </w:r>
    </w:p>
    <w:p w:rsidR="000A4D61" w:rsidRPr="001908CA" w:rsidRDefault="000A4D61" w:rsidP="000A4D61">
      <w:pPr>
        <w:pStyle w:val="ListParagraph"/>
        <w:widowControl w:val="0"/>
        <w:numPr>
          <w:ilvl w:val="1"/>
          <w:numId w:val="44"/>
        </w:numPr>
        <w:autoSpaceDE w:val="0"/>
        <w:autoSpaceDN w:val="0"/>
        <w:adjustRightInd w:val="0"/>
        <w:spacing w:before="1"/>
        <w:rPr>
          <w:rFonts w:eastAsia="Arial" w:cstheme="minorHAnsi"/>
          <w:sz w:val="20"/>
          <w:szCs w:val="26"/>
        </w:rPr>
      </w:pPr>
      <w:r w:rsidRPr="001908CA">
        <w:rPr>
          <w:rFonts w:eastAsia="Arial" w:cstheme="minorHAnsi"/>
          <w:sz w:val="20"/>
          <w:szCs w:val="26"/>
        </w:rPr>
        <w:t>Garages, outbuildings, greenhouses, permanently installed swimming pools (but not swimming pool covers), fixed hot tubs, tennis courts, drives, patios and terraces, walls, gates, fences, fixed central heating installations, fixed fuel and septic tanks</w:t>
      </w:r>
    </w:p>
    <w:p w:rsidR="000A4D61" w:rsidRPr="000A4D61" w:rsidRDefault="000A4D61" w:rsidP="000A4D61">
      <w:pPr>
        <w:pStyle w:val="ListParagraph"/>
        <w:widowControl w:val="0"/>
        <w:numPr>
          <w:ilvl w:val="1"/>
          <w:numId w:val="44"/>
        </w:numPr>
        <w:autoSpaceDE w:val="0"/>
        <w:autoSpaceDN w:val="0"/>
        <w:adjustRightInd w:val="0"/>
        <w:spacing w:before="1" w:after="0" w:line="240" w:lineRule="auto"/>
        <w:rPr>
          <w:rFonts w:cs="Facit-Light"/>
          <w:color w:val="262626"/>
          <w:sz w:val="18"/>
          <w:szCs w:val="18"/>
        </w:rPr>
      </w:pPr>
      <w:r w:rsidRPr="001908CA">
        <w:rPr>
          <w:rFonts w:eastAsia="Arial" w:cstheme="minorHAnsi"/>
          <w:sz w:val="20"/>
          <w:szCs w:val="26"/>
        </w:rPr>
        <w:t>Domestic oil pipes, underground water supply pipes, underground sewers, drains and septic tanks, underground gas pipes, underground cables, solar panels, wash basins, pedestals, sinks, bidets, lavatory pans and cisterns, shower trays, shower screens, baths and bath panels (“sanitary ware”)</w:t>
      </w:r>
      <w:r w:rsidRPr="000A4D61">
        <w:rPr>
          <w:rFonts w:eastAsia="Arial" w:cstheme="minorHAnsi"/>
          <w:sz w:val="20"/>
          <w:szCs w:val="26"/>
        </w:rPr>
        <w:t xml:space="preserve"> and ceramic hobs.</w:t>
      </w:r>
    </w:p>
    <w:p w:rsidR="000A4D61" w:rsidRPr="000A4D61" w:rsidRDefault="000A4D61" w:rsidP="000A4D61">
      <w:pPr>
        <w:pStyle w:val="ListParagraph"/>
        <w:widowControl w:val="0"/>
        <w:numPr>
          <w:ilvl w:val="0"/>
          <w:numId w:val="44"/>
        </w:numPr>
        <w:autoSpaceDE w:val="0"/>
        <w:autoSpaceDN w:val="0"/>
        <w:adjustRightInd w:val="0"/>
        <w:spacing w:before="1" w:after="0" w:line="240" w:lineRule="auto"/>
        <w:rPr>
          <w:rFonts w:cs="Facit-Light"/>
          <w:color w:val="262626"/>
          <w:sz w:val="18"/>
          <w:szCs w:val="18"/>
        </w:rPr>
      </w:pPr>
      <w:r w:rsidRPr="000A4D61">
        <w:rPr>
          <w:rFonts w:eastAsia="Arial" w:cstheme="minorHAnsi"/>
          <w:sz w:val="20"/>
          <w:szCs w:val="26"/>
        </w:rPr>
        <w:t>Contents include your household goods, fine art and antiques, valuables and personal belongings.</w:t>
      </w:r>
    </w:p>
    <w:p w:rsidR="00126A79" w:rsidRPr="00126A79" w:rsidRDefault="00126A79" w:rsidP="0079164A">
      <w:pPr>
        <w:autoSpaceDE w:val="0"/>
        <w:autoSpaceDN w:val="0"/>
        <w:adjustRightInd w:val="0"/>
        <w:spacing w:after="0" w:line="240" w:lineRule="auto"/>
        <w:rPr>
          <w:rFonts w:cs="Facit-Light"/>
          <w:color w:val="262626"/>
          <w:sz w:val="18"/>
          <w:szCs w:val="18"/>
        </w:rPr>
      </w:pPr>
    </w:p>
    <w:tbl>
      <w:tblPr>
        <w:tblStyle w:val="TableGrid"/>
        <w:tblW w:w="10504" w:type="dxa"/>
        <w:tblInd w:w="108" w:type="dxa"/>
        <w:tblLook w:val="04A0"/>
      </w:tblPr>
      <w:tblGrid>
        <w:gridCol w:w="756"/>
        <w:gridCol w:w="4377"/>
        <w:gridCol w:w="236"/>
        <w:gridCol w:w="758"/>
        <w:gridCol w:w="4377"/>
      </w:tblGrid>
      <w:tr w:rsidR="001908CA">
        <w:trPr>
          <w:trHeight w:val="5394"/>
        </w:trPr>
        <w:tc>
          <w:tcPr>
            <w:tcW w:w="756" w:type="dxa"/>
            <w:tcBorders>
              <w:top w:val="nil"/>
              <w:left w:val="nil"/>
              <w:bottom w:val="nil"/>
              <w:right w:val="nil"/>
            </w:tcBorders>
            <w:shd w:val="clear" w:color="auto" w:fill="E6E6E6"/>
          </w:tcPr>
          <w:p w:rsidR="001908CA" w:rsidRDefault="001908CA" w:rsidP="002C44DF">
            <w:pPr>
              <w:spacing w:before="120" w:after="120"/>
              <w:rPr>
                <w:sz w:val="18"/>
                <w:szCs w:val="18"/>
              </w:rPr>
            </w:pPr>
            <w:r w:rsidRPr="002E76E7">
              <w:rPr>
                <w:noProof/>
                <w:sz w:val="18"/>
                <w:szCs w:val="18"/>
                <w:lang w:val="en-US"/>
              </w:rPr>
              <w:drawing>
                <wp:inline distT="0" distB="0" distL="0" distR="0">
                  <wp:extent cx="309404" cy="32642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4999" t="29566" r="90340" b="66934"/>
                          <a:stretch>
                            <a:fillRect/>
                          </a:stretch>
                        </pic:blipFill>
                        <pic:spPr bwMode="auto">
                          <a:xfrm>
                            <a:off x="0" y="0"/>
                            <a:ext cx="309404" cy="326426"/>
                          </a:xfrm>
                          <a:prstGeom prst="rect">
                            <a:avLst/>
                          </a:prstGeom>
                          <a:noFill/>
                          <a:ln w="9525">
                            <a:noFill/>
                            <a:miter lim="800000"/>
                            <a:headEnd/>
                            <a:tailEnd/>
                          </a:ln>
                        </pic:spPr>
                      </pic:pic>
                    </a:graphicData>
                  </a:graphic>
                </wp:inline>
              </w:drawing>
            </w:r>
          </w:p>
        </w:tc>
        <w:tc>
          <w:tcPr>
            <w:tcW w:w="4377" w:type="dxa"/>
            <w:tcBorders>
              <w:top w:val="nil"/>
              <w:left w:val="nil"/>
              <w:bottom w:val="nil"/>
              <w:right w:val="nil"/>
            </w:tcBorders>
            <w:shd w:val="clear" w:color="auto" w:fill="E6E6E6"/>
          </w:tcPr>
          <w:p w:rsidR="001908CA" w:rsidRPr="001A6292" w:rsidRDefault="001908CA" w:rsidP="002C44DF">
            <w:pPr>
              <w:spacing w:before="100" w:after="80"/>
              <w:rPr>
                <w:b/>
                <w:color w:val="000000" w:themeColor="text1"/>
                <w:sz w:val="20"/>
                <w:szCs w:val="20"/>
              </w:rPr>
            </w:pPr>
            <w:r w:rsidRPr="001A6292">
              <w:rPr>
                <w:b/>
                <w:color w:val="000000" w:themeColor="text1"/>
                <w:sz w:val="20"/>
                <w:szCs w:val="20"/>
              </w:rPr>
              <w:t>What is insured?</w:t>
            </w:r>
          </w:p>
          <w:p w:rsidR="001908CA" w:rsidRPr="001A6292" w:rsidRDefault="001908CA" w:rsidP="002C44DF">
            <w:pPr>
              <w:jc w:val="both"/>
              <w:rPr>
                <w:color w:val="000000" w:themeColor="text1"/>
                <w:sz w:val="6"/>
                <w:szCs w:val="6"/>
              </w:rPr>
            </w:pPr>
          </w:p>
          <w:p w:rsidR="001908CA" w:rsidRPr="009F24C9" w:rsidRDefault="001908CA" w:rsidP="001908CA">
            <w:pPr>
              <w:autoSpaceDE w:val="0"/>
              <w:autoSpaceDN w:val="0"/>
              <w:adjustRightInd w:val="0"/>
              <w:rPr>
                <w:rFonts w:cs="Facit-Light"/>
                <w:b/>
                <w:color w:val="000000" w:themeColor="text1"/>
                <w:sz w:val="18"/>
                <w:szCs w:val="18"/>
              </w:rPr>
            </w:pPr>
            <w:r w:rsidRPr="009F24C9">
              <w:rPr>
                <w:rFonts w:cs="Facit-Light"/>
                <w:b/>
                <w:color w:val="000000" w:themeColor="text1"/>
                <w:sz w:val="18"/>
                <w:szCs w:val="18"/>
              </w:rPr>
              <w:t>Cover for your home (if selected):</w:t>
            </w:r>
          </w:p>
          <w:p w:rsidR="001908CA" w:rsidRPr="009F24C9" w:rsidRDefault="001908CA" w:rsidP="001908CA">
            <w:pPr>
              <w:autoSpaceDE w:val="0"/>
              <w:autoSpaceDN w:val="0"/>
              <w:adjustRightInd w:val="0"/>
              <w:rPr>
                <w:rFonts w:cs="Facit-Light"/>
                <w:color w:val="000000" w:themeColor="text1"/>
                <w:sz w:val="18"/>
                <w:szCs w:val="18"/>
              </w:rPr>
            </w:pPr>
          </w:p>
          <w:p w:rsidR="001908CA" w:rsidRPr="00DE4DB7" w:rsidRDefault="001908CA" w:rsidP="001908CA">
            <w:pPr>
              <w:pStyle w:val="ListParagraph"/>
              <w:widowControl w:val="0"/>
              <w:spacing w:before="2" w:after="200"/>
              <w:ind w:left="360" w:right="137"/>
              <w:rPr>
                <w:rFonts w:cs="Arial"/>
                <w:b/>
                <w:sz w:val="18"/>
                <w:szCs w:val="18"/>
              </w:rPr>
            </w:pPr>
            <w:r w:rsidRPr="00DE4DB7">
              <w:rPr>
                <w:rFonts w:cs="Arial"/>
                <w:b/>
                <w:sz w:val="18"/>
                <w:szCs w:val="18"/>
              </w:rPr>
              <w:t>Buildings, Contents, Fine Art, Antiques &amp; Valuables and liabilities.</w:t>
            </w:r>
          </w:p>
          <w:p w:rsidR="001908CA" w:rsidRPr="00DE4DB7" w:rsidRDefault="001908CA" w:rsidP="001908CA">
            <w:pPr>
              <w:pStyle w:val="ListParagraph"/>
              <w:widowControl w:val="0"/>
              <w:numPr>
                <w:ilvl w:val="0"/>
                <w:numId w:val="16"/>
              </w:numPr>
              <w:spacing w:before="2" w:after="200"/>
              <w:ind w:right="137"/>
              <w:rPr>
                <w:rFonts w:cs="Arial"/>
                <w:sz w:val="18"/>
                <w:szCs w:val="18"/>
              </w:rPr>
            </w:pPr>
            <w:r w:rsidRPr="00DE4DB7">
              <w:rPr>
                <w:rFonts w:cs="Arial"/>
                <w:sz w:val="18"/>
                <w:szCs w:val="18"/>
              </w:rPr>
              <w:t>Physical loss or damage to the buildings.</w:t>
            </w:r>
          </w:p>
          <w:p w:rsidR="001908CA" w:rsidRPr="00DE4DB7" w:rsidRDefault="001908CA" w:rsidP="001908CA">
            <w:pPr>
              <w:pStyle w:val="ListParagraph"/>
              <w:widowControl w:val="0"/>
              <w:numPr>
                <w:ilvl w:val="0"/>
                <w:numId w:val="16"/>
              </w:numPr>
              <w:spacing w:before="2" w:after="200"/>
              <w:ind w:right="137"/>
              <w:rPr>
                <w:rFonts w:cs="Arial"/>
                <w:sz w:val="18"/>
                <w:szCs w:val="18"/>
              </w:rPr>
            </w:pPr>
            <w:r w:rsidRPr="00DE4DB7">
              <w:rPr>
                <w:rFonts w:cs="Arial"/>
                <w:sz w:val="18"/>
                <w:szCs w:val="18"/>
              </w:rPr>
              <w:t>Worldwide cover for your contents, fine art antiques and Valuables.</w:t>
            </w:r>
          </w:p>
          <w:p w:rsidR="001908CA" w:rsidRPr="00DE4DB7" w:rsidRDefault="001908CA" w:rsidP="001908CA">
            <w:pPr>
              <w:pStyle w:val="ListParagraph"/>
              <w:widowControl w:val="0"/>
              <w:numPr>
                <w:ilvl w:val="0"/>
                <w:numId w:val="16"/>
              </w:numPr>
              <w:spacing w:before="2" w:after="200"/>
              <w:ind w:right="137"/>
              <w:rPr>
                <w:rFonts w:cs="Arial"/>
                <w:b/>
                <w:sz w:val="18"/>
                <w:szCs w:val="18"/>
              </w:rPr>
            </w:pPr>
            <w:r w:rsidRPr="00DE4DB7">
              <w:rPr>
                <w:rFonts w:cs="Arial"/>
                <w:sz w:val="18"/>
                <w:szCs w:val="18"/>
              </w:rPr>
              <w:t>Alternative accommodation if your home cannot be lived in following insured damage up to 36 months.</w:t>
            </w:r>
          </w:p>
          <w:p w:rsidR="001908CA" w:rsidRPr="00DE4DB7" w:rsidRDefault="001908CA" w:rsidP="001908CA">
            <w:pPr>
              <w:pStyle w:val="ListParagraph"/>
              <w:widowControl w:val="0"/>
              <w:numPr>
                <w:ilvl w:val="0"/>
                <w:numId w:val="16"/>
              </w:numPr>
              <w:spacing w:before="2" w:after="200"/>
              <w:ind w:right="137"/>
              <w:rPr>
                <w:rFonts w:cs="Arial"/>
                <w:b/>
                <w:sz w:val="18"/>
                <w:szCs w:val="18"/>
              </w:rPr>
            </w:pPr>
            <w:r w:rsidRPr="00DE4DB7">
              <w:rPr>
                <w:rFonts w:cs="Arial"/>
                <w:sz w:val="18"/>
                <w:szCs w:val="18"/>
              </w:rPr>
              <w:t>Damage caused by domestic pets up to £2,500</w:t>
            </w:r>
          </w:p>
          <w:p w:rsidR="001908CA" w:rsidRPr="00DE4DB7" w:rsidRDefault="001908CA" w:rsidP="001908CA">
            <w:pPr>
              <w:pStyle w:val="ListParagraph"/>
              <w:widowControl w:val="0"/>
              <w:numPr>
                <w:ilvl w:val="0"/>
                <w:numId w:val="16"/>
              </w:numPr>
              <w:spacing w:before="2" w:after="200"/>
              <w:ind w:right="137"/>
              <w:rPr>
                <w:rFonts w:cs="Arial"/>
                <w:b/>
                <w:sz w:val="18"/>
                <w:szCs w:val="18"/>
              </w:rPr>
            </w:pPr>
            <w:r w:rsidRPr="00DE4DB7">
              <w:rPr>
                <w:rFonts w:cs="Arial"/>
                <w:sz w:val="18"/>
                <w:szCs w:val="18"/>
              </w:rPr>
              <w:t>Sourcing domestic water which causes damage to your home or contents, up to buildings sum insured.</w:t>
            </w:r>
          </w:p>
          <w:p w:rsidR="001908CA" w:rsidRPr="00DE4DB7" w:rsidRDefault="001908CA" w:rsidP="001908CA">
            <w:pPr>
              <w:pStyle w:val="ListParagraph"/>
              <w:widowControl w:val="0"/>
              <w:numPr>
                <w:ilvl w:val="0"/>
                <w:numId w:val="16"/>
              </w:numPr>
              <w:spacing w:before="2" w:after="200"/>
              <w:ind w:right="137"/>
              <w:rPr>
                <w:rFonts w:cs="Arial"/>
                <w:sz w:val="18"/>
                <w:szCs w:val="18"/>
              </w:rPr>
            </w:pPr>
            <w:r w:rsidRPr="00DE4DB7">
              <w:rPr>
                <w:rFonts w:cs="Arial"/>
                <w:sz w:val="18"/>
                <w:szCs w:val="18"/>
              </w:rPr>
              <w:t>Loss of oil, metered water or LPG.</w:t>
            </w:r>
          </w:p>
          <w:p w:rsidR="001908CA" w:rsidRPr="00DE4DB7" w:rsidRDefault="001908CA" w:rsidP="001908CA">
            <w:pPr>
              <w:pStyle w:val="ListParagraph"/>
              <w:widowControl w:val="0"/>
              <w:numPr>
                <w:ilvl w:val="0"/>
                <w:numId w:val="16"/>
              </w:numPr>
              <w:spacing w:before="2" w:after="200"/>
              <w:ind w:right="137"/>
              <w:rPr>
                <w:rFonts w:cs="Arial"/>
                <w:sz w:val="18"/>
                <w:szCs w:val="18"/>
              </w:rPr>
            </w:pPr>
            <w:r w:rsidRPr="00DE4DB7">
              <w:rPr>
                <w:rFonts w:cs="Arial"/>
                <w:sz w:val="18"/>
                <w:szCs w:val="18"/>
              </w:rPr>
              <w:t>Legal Liability to the public:  Your liability as a private individual and as owner or occupier of the home for bodily injury or property damage caused to another person or property.</w:t>
            </w:r>
          </w:p>
          <w:p w:rsidR="001908CA" w:rsidRPr="001908CA" w:rsidRDefault="001908CA" w:rsidP="001908CA">
            <w:pPr>
              <w:pStyle w:val="ListParagraph"/>
              <w:widowControl w:val="0"/>
              <w:numPr>
                <w:ilvl w:val="0"/>
                <w:numId w:val="16"/>
              </w:numPr>
              <w:spacing w:before="2" w:after="200"/>
              <w:ind w:right="137"/>
              <w:rPr>
                <w:rFonts w:cs="Arial"/>
                <w:sz w:val="18"/>
                <w:szCs w:val="18"/>
              </w:rPr>
            </w:pPr>
            <w:r w:rsidRPr="00DE4DB7">
              <w:rPr>
                <w:rFonts w:cs="Arial"/>
                <w:sz w:val="18"/>
                <w:szCs w:val="18"/>
              </w:rPr>
              <w:t>Accidents to domestic staff:  Your liability for bodily injury to your domestic staff.</w:t>
            </w:r>
          </w:p>
        </w:tc>
        <w:tc>
          <w:tcPr>
            <w:tcW w:w="236" w:type="dxa"/>
            <w:tcBorders>
              <w:top w:val="nil"/>
              <w:left w:val="nil"/>
              <w:bottom w:val="nil"/>
              <w:right w:val="nil"/>
            </w:tcBorders>
          </w:tcPr>
          <w:p w:rsidR="001908CA" w:rsidRPr="005E424C" w:rsidRDefault="001908CA" w:rsidP="002C44DF">
            <w:pPr>
              <w:spacing w:before="120" w:after="120"/>
              <w:rPr>
                <w:sz w:val="8"/>
                <w:szCs w:val="8"/>
              </w:rPr>
            </w:pPr>
          </w:p>
        </w:tc>
        <w:tc>
          <w:tcPr>
            <w:tcW w:w="758" w:type="dxa"/>
            <w:tcBorders>
              <w:top w:val="nil"/>
              <w:left w:val="nil"/>
              <w:bottom w:val="nil"/>
              <w:right w:val="nil"/>
            </w:tcBorders>
            <w:shd w:val="clear" w:color="auto" w:fill="E6E6E6"/>
          </w:tcPr>
          <w:p w:rsidR="001908CA" w:rsidRDefault="001908CA" w:rsidP="002C44DF">
            <w:pPr>
              <w:spacing w:before="120" w:after="120"/>
              <w:rPr>
                <w:sz w:val="18"/>
                <w:szCs w:val="18"/>
              </w:rPr>
            </w:pPr>
            <w:r w:rsidRPr="005E424C">
              <w:rPr>
                <w:noProof/>
                <w:sz w:val="18"/>
                <w:szCs w:val="18"/>
                <w:lang w:val="en-US"/>
              </w:rPr>
              <w:drawing>
                <wp:inline distT="0" distB="0" distL="0" distR="0">
                  <wp:extent cx="324655" cy="3240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2127" t="29549" r="43158" b="67084"/>
                          <a:stretch>
                            <a:fillRect/>
                          </a:stretch>
                        </pic:blipFill>
                        <pic:spPr bwMode="auto">
                          <a:xfrm>
                            <a:off x="0" y="0"/>
                            <a:ext cx="324655" cy="324000"/>
                          </a:xfrm>
                          <a:prstGeom prst="rect">
                            <a:avLst/>
                          </a:prstGeom>
                          <a:noFill/>
                          <a:ln w="9525">
                            <a:noFill/>
                            <a:miter lim="800000"/>
                            <a:headEnd/>
                            <a:tailEnd/>
                          </a:ln>
                        </pic:spPr>
                      </pic:pic>
                    </a:graphicData>
                  </a:graphic>
                </wp:inline>
              </w:drawing>
            </w:r>
          </w:p>
        </w:tc>
        <w:tc>
          <w:tcPr>
            <w:tcW w:w="4377" w:type="dxa"/>
            <w:tcBorders>
              <w:top w:val="nil"/>
              <w:left w:val="nil"/>
              <w:bottom w:val="nil"/>
              <w:right w:val="nil"/>
            </w:tcBorders>
            <w:shd w:val="clear" w:color="auto" w:fill="E6E6E6"/>
          </w:tcPr>
          <w:p w:rsidR="001908CA" w:rsidRDefault="001908CA" w:rsidP="002C44DF">
            <w:pPr>
              <w:spacing w:before="100" w:after="80"/>
              <w:rPr>
                <w:b/>
                <w:sz w:val="20"/>
                <w:szCs w:val="20"/>
              </w:rPr>
            </w:pPr>
            <w:r w:rsidRPr="00F07A38">
              <w:rPr>
                <w:b/>
                <w:sz w:val="20"/>
                <w:szCs w:val="20"/>
              </w:rPr>
              <w:t>What is not insured?</w:t>
            </w:r>
          </w:p>
          <w:p w:rsidR="001908CA" w:rsidRPr="004016F3" w:rsidRDefault="001908CA" w:rsidP="002C44DF">
            <w:pPr>
              <w:pStyle w:val="ListParagraph"/>
              <w:ind w:left="286"/>
              <w:jc w:val="both"/>
              <w:rPr>
                <w:b/>
                <w:sz w:val="6"/>
                <w:szCs w:val="6"/>
              </w:rPr>
            </w:pPr>
          </w:p>
          <w:p w:rsidR="001908CA" w:rsidRPr="00DE4DB7" w:rsidRDefault="001908CA" w:rsidP="001908CA">
            <w:pPr>
              <w:pStyle w:val="ListParagraph"/>
              <w:numPr>
                <w:ilvl w:val="0"/>
                <w:numId w:val="20"/>
              </w:numPr>
              <w:autoSpaceDE w:val="0"/>
              <w:autoSpaceDN w:val="0"/>
              <w:adjustRightInd w:val="0"/>
              <w:rPr>
                <w:rFonts w:ascii="Calibri" w:hAnsi="Calibri" w:cs="MyriadPro-Regular"/>
                <w:sz w:val="18"/>
                <w:szCs w:val="20"/>
              </w:rPr>
            </w:pPr>
            <w:r w:rsidRPr="00DE4DB7">
              <w:rPr>
                <w:rFonts w:ascii="Calibri" w:hAnsi="Calibri" w:cs="MyriadPro-Regular"/>
                <w:sz w:val="18"/>
                <w:szCs w:val="20"/>
              </w:rPr>
              <w:t>Wear and tear or any other gradually operating cause (for example, damp formed over a period of time due to blocked or poorly maintained guttering, or the mechanical or electrical failure of a television).</w:t>
            </w:r>
          </w:p>
          <w:p w:rsidR="001908CA" w:rsidRPr="00DE4DB7" w:rsidRDefault="001908CA" w:rsidP="001908CA">
            <w:pPr>
              <w:pStyle w:val="ListParagraph"/>
              <w:numPr>
                <w:ilvl w:val="0"/>
                <w:numId w:val="20"/>
              </w:numPr>
              <w:autoSpaceDE w:val="0"/>
              <w:autoSpaceDN w:val="0"/>
              <w:adjustRightInd w:val="0"/>
              <w:rPr>
                <w:rFonts w:ascii="Calibri" w:hAnsi="Calibri" w:cs="MyriadPro-Regular"/>
                <w:b/>
                <w:sz w:val="18"/>
                <w:szCs w:val="20"/>
              </w:rPr>
            </w:pPr>
            <w:r w:rsidRPr="00DE4DB7">
              <w:rPr>
                <w:rFonts w:ascii="Calibri" w:hAnsi="Calibri" w:cs="MyriadPro-Regular"/>
                <w:sz w:val="18"/>
                <w:szCs w:val="20"/>
              </w:rPr>
              <w:t>Loss or damage resulting from any work to your home where the cost of the works exceeds a total contract value of £75,000 unless the work has been agreed by us.</w:t>
            </w:r>
          </w:p>
          <w:p w:rsidR="001908CA" w:rsidRPr="00DE4DB7" w:rsidRDefault="001908CA" w:rsidP="001908CA">
            <w:pPr>
              <w:pStyle w:val="ListParagraph"/>
              <w:numPr>
                <w:ilvl w:val="0"/>
                <w:numId w:val="20"/>
              </w:numPr>
              <w:autoSpaceDE w:val="0"/>
              <w:autoSpaceDN w:val="0"/>
              <w:adjustRightInd w:val="0"/>
              <w:rPr>
                <w:rFonts w:ascii="Calibri" w:hAnsi="Calibri" w:cs="MyriadPro-Regular"/>
                <w:sz w:val="18"/>
                <w:szCs w:val="20"/>
              </w:rPr>
            </w:pPr>
            <w:r w:rsidRPr="00DE4DB7">
              <w:rPr>
                <w:rFonts w:ascii="Calibri" w:hAnsi="Calibri" w:cs="MyriadPro-Regular"/>
                <w:sz w:val="18"/>
                <w:szCs w:val="20"/>
              </w:rPr>
              <w:t>Loss or damage caused by theft, vandalism, malicious damage or accidental damage while the home is unoccupied unless we agree cover.</w:t>
            </w:r>
          </w:p>
          <w:p w:rsidR="001908CA" w:rsidRPr="001908CA" w:rsidRDefault="001908CA" w:rsidP="001908CA">
            <w:pPr>
              <w:pStyle w:val="ListParagraph"/>
              <w:numPr>
                <w:ilvl w:val="0"/>
                <w:numId w:val="20"/>
              </w:numPr>
              <w:autoSpaceDE w:val="0"/>
              <w:autoSpaceDN w:val="0"/>
              <w:adjustRightInd w:val="0"/>
              <w:rPr>
                <w:rFonts w:ascii="Calibri" w:hAnsi="Calibri" w:cs="MyriadPro-Regular"/>
                <w:sz w:val="18"/>
                <w:szCs w:val="20"/>
              </w:rPr>
            </w:pPr>
            <w:r w:rsidRPr="00DE4DB7">
              <w:rPr>
                <w:rFonts w:ascii="Calibri" w:hAnsi="Calibri" w:cs="MyriadPro-Regular"/>
                <w:sz w:val="18"/>
                <w:szCs w:val="20"/>
              </w:rPr>
              <w:t>Existing and deliberate damage occurring before the beginning of the period of insurance or caused deliberately by you.</w:t>
            </w:r>
          </w:p>
        </w:tc>
      </w:tr>
    </w:tbl>
    <w:p w:rsidR="001908CA" w:rsidRDefault="001908CA"/>
    <w:tbl>
      <w:tblPr>
        <w:tblStyle w:val="TableGrid"/>
        <w:tblW w:w="10504" w:type="dxa"/>
        <w:tblInd w:w="108" w:type="dxa"/>
        <w:tblLook w:val="04A0"/>
      </w:tblPr>
      <w:tblGrid>
        <w:gridCol w:w="756"/>
        <w:gridCol w:w="9748"/>
      </w:tblGrid>
      <w:tr w:rsidR="00C855B7">
        <w:trPr>
          <w:trHeight w:val="1702"/>
        </w:trPr>
        <w:tc>
          <w:tcPr>
            <w:tcW w:w="756" w:type="dxa"/>
            <w:tcBorders>
              <w:top w:val="nil"/>
              <w:left w:val="nil"/>
              <w:bottom w:val="nil"/>
              <w:right w:val="nil"/>
            </w:tcBorders>
            <w:shd w:val="clear" w:color="auto" w:fill="E6E6E6"/>
          </w:tcPr>
          <w:p w:rsidR="00C855B7" w:rsidRPr="005E424C" w:rsidRDefault="00C855B7" w:rsidP="005C3935">
            <w:pPr>
              <w:spacing w:before="120" w:after="120"/>
              <w:rPr>
                <w:noProof/>
                <w:sz w:val="18"/>
                <w:szCs w:val="18"/>
                <w:lang w:eastAsia="en-GB"/>
              </w:rPr>
            </w:pPr>
            <w:r w:rsidRPr="005E424C">
              <w:rPr>
                <w:noProof/>
                <w:sz w:val="18"/>
                <w:szCs w:val="18"/>
                <w:lang w:val="en-US"/>
              </w:rPr>
              <w:drawing>
                <wp:inline distT="0" distB="0" distL="0" distR="0">
                  <wp:extent cx="311210" cy="3240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2100" t="43186" r="43263" b="53408"/>
                          <a:stretch>
                            <a:fillRect/>
                          </a:stretch>
                        </pic:blipFill>
                        <pic:spPr bwMode="auto">
                          <a:xfrm>
                            <a:off x="0" y="0"/>
                            <a:ext cx="311210" cy="32400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C855B7" w:rsidRDefault="00C855B7" w:rsidP="00C855B7">
            <w:pPr>
              <w:spacing w:before="100" w:after="80"/>
              <w:rPr>
                <w:b/>
                <w:sz w:val="20"/>
                <w:szCs w:val="20"/>
              </w:rPr>
            </w:pPr>
            <w:r w:rsidRPr="00F07A38">
              <w:rPr>
                <w:b/>
                <w:sz w:val="20"/>
                <w:szCs w:val="20"/>
              </w:rPr>
              <w:t>Are there any restrictions on cover?</w:t>
            </w:r>
          </w:p>
          <w:p w:rsidR="00DE4DB7" w:rsidRPr="00DE4DB7" w:rsidRDefault="00DE4DB7" w:rsidP="00DE4DB7">
            <w:pPr>
              <w:pStyle w:val="ListParagraph"/>
              <w:numPr>
                <w:ilvl w:val="0"/>
                <w:numId w:val="43"/>
              </w:numPr>
              <w:spacing w:after="60"/>
              <w:ind w:left="696" w:hanging="696"/>
              <w:rPr>
                <w:rFonts w:cs="Arial"/>
                <w:sz w:val="18"/>
                <w:szCs w:val="20"/>
              </w:rPr>
            </w:pPr>
            <w:r w:rsidRPr="00DE4DB7">
              <w:rPr>
                <w:rFonts w:cs="Arial"/>
                <w:sz w:val="18"/>
                <w:szCs w:val="20"/>
              </w:rPr>
              <w:t>Certain limitations may apply to your policy. For example:</w:t>
            </w:r>
          </w:p>
          <w:p w:rsidR="00DE4DB7" w:rsidRPr="00DE4DB7" w:rsidRDefault="00DE4DB7" w:rsidP="00DE4DB7">
            <w:pPr>
              <w:numPr>
                <w:ilvl w:val="0"/>
                <w:numId w:val="36"/>
              </w:numPr>
              <w:spacing w:after="60"/>
              <w:rPr>
                <w:rFonts w:cs="Arial"/>
                <w:sz w:val="18"/>
                <w:szCs w:val="20"/>
              </w:rPr>
            </w:pPr>
            <w:r w:rsidRPr="00DE4DB7">
              <w:rPr>
                <w:rFonts w:cs="Arial"/>
                <w:sz w:val="18"/>
                <w:szCs w:val="20"/>
              </w:rPr>
              <w:t>the excess (the amount you have to pay on any claim);</w:t>
            </w:r>
          </w:p>
          <w:p w:rsidR="00DE4DB7" w:rsidRPr="00DE4DB7" w:rsidRDefault="00DE4DB7" w:rsidP="00DE4DB7">
            <w:pPr>
              <w:numPr>
                <w:ilvl w:val="0"/>
                <w:numId w:val="36"/>
              </w:numPr>
              <w:spacing w:after="60"/>
              <w:rPr>
                <w:rFonts w:cs="Arial"/>
                <w:sz w:val="18"/>
                <w:szCs w:val="20"/>
              </w:rPr>
            </w:pPr>
            <w:proofErr w:type="gramStart"/>
            <w:r w:rsidRPr="00DE4DB7">
              <w:rPr>
                <w:rFonts w:cs="Arial"/>
                <w:sz w:val="18"/>
                <w:szCs w:val="20"/>
              </w:rPr>
              <w:t>monetary</w:t>
            </w:r>
            <w:proofErr w:type="gramEnd"/>
            <w:r w:rsidRPr="00DE4DB7">
              <w:rPr>
                <w:rFonts w:cs="Arial"/>
                <w:sz w:val="18"/>
                <w:szCs w:val="20"/>
              </w:rPr>
              <w:t xml:space="preserve"> limits for certain items or types of cover.</w:t>
            </w:r>
          </w:p>
          <w:p w:rsidR="00C855B7" w:rsidRPr="00BA147C" w:rsidRDefault="00DE4DB7" w:rsidP="00BA147C">
            <w:pPr>
              <w:pStyle w:val="ListParagraph"/>
              <w:numPr>
                <w:ilvl w:val="0"/>
                <w:numId w:val="36"/>
              </w:numPr>
              <w:spacing w:after="60"/>
              <w:rPr>
                <w:rFonts w:cs="Arial"/>
                <w:sz w:val="18"/>
                <w:szCs w:val="20"/>
              </w:rPr>
            </w:pPr>
            <w:r w:rsidRPr="00DE4DB7">
              <w:rPr>
                <w:rFonts w:cs="Arial"/>
                <w:sz w:val="18"/>
                <w:szCs w:val="20"/>
              </w:rPr>
              <w:t xml:space="preserve">Endorsements may apply to your policy.  These will be shown in your policy documents      </w:t>
            </w:r>
          </w:p>
        </w:tc>
      </w:tr>
      <w:tr w:rsidR="00C855B7">
        <w:tc>
          <w:tcPr>
            <w:tcW w:w="10504" w:type="dxa"/>
            <w:gridSpan w:val="2"/>
            <w:tcBorders>
              <w:top w:val="nil"/>
              <w:left w:val="nil"/>
              <w:bottom w:val="nil"/>
              <w:right w:val="nil"/>
            </w:tcBorders>
            <w:shd w:val="clear" w:color="auto" w:fill="auto"/>
          </w:tcPr>
          <w:p w:rsidR="00C855B7" w:rsidRPr="00C855B7" w:rsidRDefault="00C855B7" w:rsidP="004016F3">
            <w:pPr>
              <w:spacing w:before="100" w:after="80"/>
              <w:jc w:val="both"/>
              <w:rPr>
                <w:b/>
                <w:sz w:val="8"/>
                <w:szCs w:val="8"/>
              </w:rPr>
            </w:pPr>
          </w:p>
        </w:tc>
      </w:tr>
      <w:tr w:rsidR="005E424C">
        <w:tc>
          <w:tcPr>
            <w:tcW w:w="756" w:type="dxa"/>
            <w:tcBorders>
              <w:top w:val="nil"/>
              <w:left w:val="nil"/>
              <w:bottom w:val="nil"/>
              <w:right w:val="nil"/>
            </w:tcBorders>
            <w:shd w:val="clear" w:color="auto" w:fill="E6E6E6"/>
          </w:tcPr>
          <w:p w:rsidR="005E424C" w:rsidRDefault="005E424C" w:rsidP="005C3935">
            <w:pPr>
              <w:spacing w:before="120" w:after="120"/>
              <w:rPr>
                <w:sz w:val="18"/>
                <w:szCs w:val="18"/>
              </w:rPr>
            </w:pPr>
            <w:r w:rsidRPr="005E424C">
              <w:rPr>
                <w:noProof/>
                <w:sz w:val="18"/>
                <w:szCs w:val="18"/>
                <w:lang w:val="en-US"/>
              </w:rPr>
              <w:drawing>
                <wp:inline distT="0" distB="0" distL="0" distR="0">
                  <wp:extent cx="322863" cy="324000"/>
                  <wp:effectExtent l="19050" t="0" r="987"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4873" t="59413" r="90327" b="37167"/>
                          <a:stretch>
                            <a:fillRect/>
                          </a:stretch>
                        </pic:blipFill>
                        <pic:spPr bwMode="auto">
                          <a:xfrm>
                            <a:off x="0" y="0"/>
                            <a:ext cx="322863" cy="32400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5E424C" w:rsidRDefault="00C85F63" w:rsidP="004016F3">
            <w:pPr>
              <w:spacing w:before="100" w:after="80"/>
              <w:jc w:val="both"/>
              <w:rPr>
                <w:b/>
                <w:sz w:val="20"/>
                <w:szCs w:val="20"/>
              </w:rPr>
            </w:pPr>
            <w:r w:rsidRPr="00F07A38">
              <w:rPr>
                <w:b/>
                <w:sz w:val="20"/>
                <w:szCs w:val="20"/>
              </w:rPr>
              <w:t>Where am I covered?</w:t>
            </w:r>
          </w:p>
          <w:p w:rsidR="00A2725D" w:rsidRPr="00F07A38" w:rsidRDefault="00A2725D" w:rsidP="00A2725D">
            <w:pPr>
              <w:spacing w:before="100" w:after="80"/>
              <w:ind w:left="270"/>
              <w:jc w:val="both"/>
              <w:rPr>
                <w:b/>
                <w:sz w:val="20"/>
                <w:szCs w:val="20"/>
              </w:rPr>
            </w:pPr>
            <w:r>
              <w:rPr>
                <w:b/>
                <w:sz w:val="20"/>
                <w:szCs w:val="20"/>
              </w:rPr>
              <w:t xml:space="preserve"> Buildings, Contents, Fine Art, Antiques, Valuables and Liabilities</w:t>
            </w:r>
          </w:p>
          <w:p w:rsidR="009F24C9" w:rsidRPr="00DE4DB7" w:rsidRDefault="00DE4DB7" w:rsidP="009F24C9">
            <w:pPr>
              <w:pStyle w:val="ListParagraph"/>
              <w:numPr>
                <w:ilvl w:val="0"/>
                <w:numId w:val="5"/>
              </w:numPr>
              <w:spacing w:after="120"/>
              <w:contextualSpacing w:val="0"/>
              <w:rPr>
                <w:rFonts w:cs="Arial"/>
                <w:sz w:val="18"/>
                <w:szCs w:val="18"/>
              </w:rPr>
            </w:pPr>
            <w:r>
              <w:rPr>
                <w:rFonts w:cs="Arial"/>
                <w:sz w:val="18"/>
                <w:szCs w:val="18"/>
              </w:rPr>
              <w:t>Your</w:t>
            </w:r>
            <w:r w:rsidR="009F24C9" w:rsidRPr="00DE4DB7">
              <w:rPr>
                <w:rFonts w:cs="Arial"/>
                <w:sz w:val="18"/>
                <w:szCs w:val="18"/>
              </w:rPr>
              <w:t xml:space="preserve"> home</w:t>
            </w:r>
            <w:r>
              <w:rPr>
                <w:rFonts w:cs="Arial"/>
                <w:sz w:val="18"/>
                <w:szCs w:val="18"/>
              </w:rPr>
              <w:t xml:space="preserve"> buildings</w:t>
            </w:r>
            <w:r w:rsidR="009F24C9" w:rsidRPr="00DE4DB7">
              <w:rPr>
                <w:rFonts w:cs="Arial"/>
                <w:sz w:val="18"/>
                <w:szCs w:val="18"/>
              </w:rPr>
              <w:t xml:space="preserve"> you are insuring in the United Kingdom</w:t>
            </w:r>
            <w:r w:rsidR="007E6207">
              <w:rPr>
                <w:rFonts w:cs="Arial"/>
                <w:sz w:val="18"/>
                <w:szCs w:val="18"/>
              </w:rPr>
              <w:t>,</w:t>
            </w:r>
            <w:r w:rsidR="00206A3D">
              <w:rPr>
                <w:rFonts w:cs="Arial"/>
                <w:sz w:val="18"/>
                <w:szCs w:val="18"/>
              </w:rPr>
              <w:t xml:space="preserve"> </w:t>
            </w:r>
            <w:r w:rsidRPr="00DE4DB7">
              <w:rPr>
                <w:rFonts w:cs="Arial"/>
                <w:sz w:val="18"/>
                <w:szCs w:val="18"/>
              </w:rPr>
              <w:t xml:space="preserve">the Channel Islands and the Isle of Man or elsewhere as agreed and shown in your schedule. </w:t>
            </w:r>
            <w:r w:rsidR="009F24C9" w:rsidRPr="00DE4DB7">
              <w:rPr>
                <w:rFonts w:cs="Arial"/>
                <w:sz w:val="18"/>
                <w:szCs w:val="18"/>
              </w:rPr>
              <w:t>.</w:t>
            </w:r>
          </w:p>
          <w:p w:rsidR="00030C15" w:rsidRPr="00A2725D" w:rsidRDefault="00DE4DB7" w:rsidP="009F24C9">
            <w:pPr>
              <w:pStyle w:val="ListParagraph"/>
              <w:numPr>
                <w:ilvl w:val="0"/>
                <w:numId w:val="5"/>
              </w:numPr>
              <w:jc w:val="both"/>
              <w:rPr>
                <w:rFonts w:cs="Arial"/>
                <w:sz w:val="18"/>
                <w:szCs w:val="18"/>
              </w:rPr>
            </w:pPr>
            <w:r w:rsidRPr="00A2725D">
              <w:rPr>
                <w:rFonts w:cs="Arial"/>
                <w:sz w:val="18"/>
                <w:szCs w:val="18"/>
              </w:rPr>
              <w:t>Your contents, fine art, antiques, valuables and personal liabilities anywhere in the world</w:t>
            </w:r>
          </w:p>
          <w:p w:rsidR="00DE4DB7" w:rsidRPr="00BA147C" w:rsidRDefault="00DE4DB7" w:rsidP="00BA147C">
            <w:pPr>
              <w:jc w:val="both"/>
              <w:rPr>
                <w:rFonts w:cstheme="minorHAnsi"/>
                <w:color w:val="262626"/>
                <w:sz w:val="16"/>
                <w:szCs w:val="16"/>
                <w:lang w:val="en-IE"/>
              </w:rPr>
            </w:pPr>
          </w:p>
        </w:tc>
      </w:tr>
      <w:tr w:rsidR="005E424C">
        <w:trPr>
          <w:trHeight w:val="170"/>
        </w:trPr>
        <w:tc>
          <w:tcPr>
            <w:tcW w:w="10504" w:type="dxa"/>
            <w:gridSpan w:val="2"/>
            <w:tcBorders>
              <w:top w:val="nil"/>
              <w:left w:val="nil"/>
              <w:bottom w:val="nil"/>
              <w:right w:val="nil"/>
            </w:tcBorders>
          </w:tcPr>
          <w:p w:rsidR="005E424C" w:rsidRPr="005E424C" w:rsidRDefault="005E424C" w:rsidP="005E424C">
            <w:pPr>
              <w:rPr>
                <w:sz w:val="8"/>
                <w:szCs w:val="8"/>
              </w:rPr>
            </w:pPr>
          </w:p>
        </w:tc>
      </w:tr>
      <w:tr w:rsidR="005E424C">
        <w:tc>
          <w:tcPr>
            <w:tcW w:w="756" w:type="dxa"/>
            <w:tcBorders>
              <w:top w:val="nil"/>
              <w:left w:val="nil"/>
              <w:bottom w:val="nil"/>
              <w:right w:val="nil"/>
            </w:tcBorders>
            <w:shd w:val="clear" w:color="auto" w:fill="E6E6E6"/>
          </w:tcPr>
          <w:p w:rsidR="005E424C" w:rsidRDefault="005E424C" w:rsidP="005C3935">
            <w:pPr>
              <w:spacing w:before="120" w:after="120"/>
              <w:rPr>
                <w:sz w:val="18"/>
                <w:szCs w:val="18"/>
              </w:rPr>
            </w:pPr>
            <w:r w:rsidRPr="005E424C">
              <w:rPr>
                <w:noProof/>
                <w:sz w:val="18"/>
                <w:szCs w:val="18"/>
                <w:lang w:val="en-US"/>
              </w:rPr>
              <w:drawing>
                <wp:inline distT="0" distB="0" distL="0" distR="0">
                  <wp:extent cx="295592" cy="323850"/>
                  <wp:effectExtent l="19050" t="0" r="9208"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048" t="67151" r="90422" b="29379"/>
                          <a:stretch>
                            <a:fillRect/>
                          </a:stretch>
                        </pic:blipFill>
                        <pic:spPr bwMode="auto">
                          <a:xfrm>
                            <a:off x="0" y="0"/>
                            <a:ext cx="295592" cy="32385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5E424C" w:rsidRPr="00F07A38" w:rsidRDefault="00C85F63" w:rsidP="004016F3">
            <w:pPr>
              <w:spacing w:before="100" w:after="80"/>
              <w:jc w:val="both"/>
              <w:rPr>
                <w:b/>
                <w:sz w:val="20"/>
                <w:szCs w:val="20"/>
              </w:rPr>
            </w:pPr>
            <w:r w:rsidRPr="00F07A38">
              <w:rPr>
                <w:b/>
                <w:sz w:val="20"/>
                <w:szCs w:val="20"/>
              </w:rPr>
              <w:t>What are my obligations?</w:t>
            </w:r>
          </w:p>
          <w:p w:rsidR="009F24C9" w:rsidRPr="009F24C9" w:rsidRDefault="009F24C9" w:rsidP="009F24C9">
            <w:pPr>
              <w:pStyle w:val="ListParagraph"/>
              <w:numPr>
                <w:ilvl w:val="0"/>
                <w:numId w:val="6"/>
              </w:numPr>
              <w:autoSpaceDE w:val="0"/>
              <w:autoSpaceDN w:val="0"/>
              <w:adjustRightInd w:val="0"/>
              <w:rPr>
                <w:rFonts w:cstheme="minorHAnsi"/>
                <w:color w:val="262626"/>
                <w:sz w:val="18"/>
                <w:szCs w:val="16"/>
              </w:rPr>
            </w:pPr>
            <w:r w:rsidRPr="009F24C9">
              <w:rPr>
                <w:rFonts w:cstheme="minorHAnsi"/>
                <w:color w:val="262626"/>
                <w:sz w:val="18"/>
                <w:szCs w:val="16"/>
              </w:rPr>
              <w:t>At the beginning of the period of insurance or when making changes to your policy, you must give complete and accurate answers to any questions you are asked relating to the insurance.</w:t>
            </w:r>
          </w:p>
          <w:p w:rsidR="009F24C9" w:rsidRPr="009F24C9" w:rsidRDefault="009F24C9" w:rsidP="009F24C9">
            <w:pPr>
              <w:pStyle w:val="ListParagraph"/>
              <w:numPr>
                <w:ilvl w:val="0"/>
                <w:numId w:val="6"/>
              </w:numPr>
              <w:autoSpaceDE w:val="0"/>
              <w:autoSpaceDN w:val="0"/>
              <w:adjustRightInd w:val="0"/>
              <w:rPr>
                <w:rFonts w:cstheme="minorHAnsi"/>
                <w:color w:val="262626"/>
                <w:sz w:val="18"/>
                <w:szCs w:val="16"/>
              </w:rPr>
            </w:pPr>
            <w:r w:rsidRPr="009F24C9">
              <w:rPr>
                <w:rFonts w:cstheme="minorHAnsi"/>
                <w:color w:val="262626"/>
                <w:sz w:val="18"/>
                <w:szCs w:val="16"/>
              </w:rPr>
              <w:t>You must tell your broker of you becoming aware of any inaccuracies or changes in the information you have provided to us, whether happening before or during the period of insurance.</w:t>
            </w:r>
          </w:p>
          <w:p w:rsidR="009F24C9" w:rsidRDefault="009F24C9" w:rsidP="009F24C9">
            <w:pPr>
              <w:pStyle w:val="ListParagraph"/>
              <w:numPr>
                <w:ilvl w:val="0"/>
                <w:numId w:val="6"/>
              </w:numPr>
              <w:autoSpaceDE w:val="0"/>
              <w:autoSpaceDN w:val="0"/>
              <w:adjustRightInd w:val="0"/>
              <w:rPr>
                <w:rFonts w:cstheme="minorHAnsi"/>
                <w:color w:val="262626"/>
                <w:sz w:val="18"/>
                <w:szCs w:val="16"/>
              </w:rPr>
            </w:pPr>
            <w:r w:rsidRPr="009F24C9">
              <w:rPr>
                <w:rFonts w:cstheme="minorHAnsi"/>
                <w:color w:val="262626"/>
                <w:sz w:val="18"/>
                <w:szCs w:val="16"/>
              </w:rPr>
              <w:t>You must tell your broker if your circumstances change either before your policy starts or during the period of insurance. For example, if you move house, start a business from home, you change the use or you rent it out, you increase the value of your contents or rebuild of the buildings  from what is shown on your schedule or if you leave your home unoccupied or unfurnished.</w:t>
            </w:r>
          </w:p>
          <w:p w:rsidR="009F24C9" w:rsidRPr="00E360CF" w:rsidRDefault="009F24C9" w:rsidP="009F24C9">
            <w:pPr>
              <w:pStyle w:val="ListParagraph"/>
              <w:numPr>
                <w:ilvl w:val="0"/>
                <w:numId w:val="6"/>
              </w:numPr>
              <w:autoSpaceDE w:val="0"/>
              <w:autoSpaceDN w:val="0"/>
              <w:adjustRightInd w:val="0"/>
              <w:rPr>
                <w:rFonts w:cstheme="minorHAnsi"/>
                <w:vanish/>
                <w:color w:val="262626"/>
                <w:sz w:val="18"/>
                <w:szCs w:val="16"/>
                <w:specVanish/>
              </w:rPr>
            </w:pPr>
            <w:r w:rsidRPr="009F24C9">
              <w:rPr>
                <w:rFonts w:cstheme="minorHAnsi"/>
                <w:color w:val="262626"/>
                <w:sz w:val="18"/>
                <w:szCs w:val="16"/>
              </w:rPr>
              <w:t xml:space="preserve">You must tell your broker </w:t>
            </w:r>
            <w:r w:rsidR="00E820F5" w:rsidRPr="009F24C9">
              <w:rPr>
                <w:rFonts w:cstheme="minorHAnsi"/>
                <w:color w:val="262626"/>
                <w:sz w:val="18"/>
                <w:szCs w:val="16"/>
              </w:rPr>
              <w:t>before</w:t>
            </w:r>
            <w:r w:rsidRPr="009F24C9">
              <w:rPr>
                <w:rFonts w:cstheme="minorHAnsi"/>
                <w:color w:val="262626"/>
                <w:sz w:val="18"/>
                <w:szCs w:val="16"/>
              </w:rPr>
              <w:t xml:space="preserve"> you start any conversions, extensions or other structural work to the buildings</w:t>
            </w:r>
            <w:r w:rsidR="00DE4DB7">
              <w:rPr>
                <w:rFonts w:cstheme="minorHAnsi"/>
                <w:color w:val="262626"/>
                <w:sz w:val="18"/>
                <w:szCs w:val="16"/>
              </w:rPr>
              <w:t xml:space="preserve"> with an </w:t>
            </w:r>
            <w:r w:rsidR="00985FA0">
              <w:rPr>
                <w:rFonts w:cstheme="minorHAnsi"/>
                <w:color w:val="262626"/>
                <w:sz w:val="18"/>
                <w:szCs w:val="16"/>
              </w:rPr>
              <w:t>estimated cost</w:t>
            </w:r>
            <w:r w:rsidR="00DE4DB7">
              <w:rPr>
                <w:rFonts w:cstheme="minorHAnsi"/>
                <w:color w:val="262626"/>
                <w:sz w:val="18"/>
                <w:szCs w:val="16"/>
              </w:rPr>
              <w:t xml:space="preserve"> of more than £75,000</w:t>
            </w:r>
            <w:r w:rsidRPr="009F24C9">
              <w:rPr>
                <w:rFonts w:cstheme="minorHAnsi"/>
                <w:color w:val="262626"/>
                <w:sz w:val="18"/>
                <w:szCs w:val="16"/>
              </w:rPr>
              <w:t>.</w:t>
            </w:r>
          </w:p>
          <w:p w:rsidR="009F24C9" w:rsidRPr="00E360CF" w:rsidRDefault="00E360CF" w:rsidP="009F24C9">
            <w:pPr>
              <w:pStyle w:val="ListParagraph"/>
              <w:numPr>
                <w:ilvl w:val="0"/>
                <w:numId w:val="6"/>
              </w:numPr>
              <w:autoSpaceDE w:val="0"/>
              <w:autoSpaceDN w:val="0"/>
              <w:adjustRightInd w:val="0"/>
              <w:rPr>
                <w:rFonts w:cstheme="minorHAnsi"/>
                <w:vanish/>
                <w:color w:val="262626"/>
                <w:sz w:val="18"/>
                <w:szCs w:val="16"/>
                <w:specVanish/>
              </w:rPr>
            </w:pPr>
            <w:r>
              <w:rPr>
                <w:rFonts w:cstheme="minorHAnsi"/>
                <w:color w:val="262626"/>
                <w:sz w:val="18"/>
                <w:szCs w:val="16"/>
              </w:rPr>
              <w:t xml:space="preserve"> </w:t>
            </w:r>
            <w:r w:rsidR="009F24C9" w:rsidRPr="009F24C9">
              <w:rPr>
                <w:rFonts w:cstheme="minorHAnsi"/>
                <w:color w:val="262626"/>
                <w:sz w:val="18"/>
                <w:szCs w:val="16"/>
              </w:rPr>
              <w:t>You must take all reasonable steps to prevent loss, damage or an accident and keep the buildings in a good state of repair.</w:t>
            </w:r>
          </w:p>
          <w:p w:rsidR="009F24C9" w:rsidRPr="009F24C9" w:rsidRDefault="00E360CF" w:rsidP="009F24C9">
            <w:pPr>
              <w:pStyle w:val="ListParagraph"/>
              <w:numPr>
                <w:ilvl w:val="0"/>
                <w:numId w:val="6"/>
              </w:numPr>
              <w:autoSpaceDE w:val="0"/>
              <w:autoSpaceDN w:val="0"/>
              <w:adjustRightInd w:val="0"/>
              <w:rPr>
                <w:rFonts w:cstheme="minorHAnsi"/>
                <w:color w:val="262626"/>
                <w:sz w:val="18"/>
                <w:szCs w:val="16"/>
              </w:rPr>
            </w:pPr>
            <w:r>
              <w:rPr>
                <w:rFonts w:cstheme="minorHAnsi"/>
                <w:color w:val="262626"/>
                <w:sz w:val="18"/>
                <w:szCs w:val="16"/>
              </w:rPr>
              <w:t xml:space="preserve"> </w:t>
            </w:r>
            <w:r w:rsidR="009F24C9" w:rsidRPr="009F24C9">
              <w:rPr>
                <w:rFonts w:cstheme="minorHAnsi"/>
                <w:color w:val="262626"/>
                <w:sz w:val="18"/>
                <w:szCs w:val="16"/>
              </w:rPr>
              <w:t>You must tell us about any event which might lead to a claim as soon as possible</w:t>
            </w:r>
          </w:p>
          <w:p w:rsidR="009F24C9" w:rsidRPr="009F24C9" w:rsidRDefault="009F24C9" w:rsidP="009F24C9">
            <w:pPr>
              <w:pStyle w:val="ListParagraph"/>
              <w:numPr>
                <w:ilvl w:val="0"/>
                <w:numId w:val="6"/>
              </w:numPr>
              <w:autoSpaceDE w:val="0"/>
              <w:autoSpaceDN w:val="0"/>
              <w:adjustRightInd w:val="0"/>
              <w:rPr>
                <w:rFonts w:cstheme="minorHAnsi"/>
                <w:color w:val="262626"/>
                <w:sz w:val="18"/>
                <w:szCs w:val="16"/>
              </w:rPr>
            </w:pPr>
            <w:r w:rsidRPr="009F24C9">
              <w:rPr>
                <w:rFonts w:cstheme="minorHAnsi"/>
                <w:color w:val="262626"/>
                <w:sz w:val="18"/>
                <w:szCs w:val="16"/>
              </w:rPr>
              <w:t>When we are notified of a change or of any planned structural work we will tell you if this affects your policy. For example we may amend the terms of your policy or require you to pay an additional premium.  In certain circumstances we may cancel your policy in accordance with the “Cancelling This Insurance” section of the policy document.</w:t>
            </w:r>
          </w:p>
          <w:p w:rsidR="005D5173" w:rsidRPr="00AA044E" w:rsidRDefault="009F24C9" w:rsidP="009F24C9">
            <w:pPr>
              <w:pStyle w:val="ListParagraph"/>
              <w:numPr>
                <w:ilvl w:val="0"/>
                <w:numId w:val="6"/>
              </w:numPr>
              <w:autoSpaceDE w:val="0"/>
              <w:autoSpaceDN w:val="0"/>
              <w:adjustRightInd w:val="0"/>
              <w:rPr>
                <w:sz w:val="18"/>
                <w:szCs w:val="18"/>
              </w:rPr>
            </w:pPr>
            <w:r w:rsidRPr="009F24C9">
              <w:rPr>
                <w:rFonts w:cstheme="minorHAnsi"/>
                <w:b/>
                <w:color w:val="262626"/>
                <w:sz w:val="18"/>
                <w:szCs w:val="16"/>
              </w:rPr>
              <w:t>Failure to meet your obligations could result in a claim being rejected, a reduction in the amount we pay or the cancellation of your policy.</w:t>
            </w:r>
          </w:p>
        </w:tc>
      </w:tr>
      <w:tr w:rsidR="005E424C">
        <w:trPr>
          <w:trHeight w:val="170"/>
        </w:trPr>
        <w:tc>
          <w:tcPr>
            <w:tcW w:w="10504" w:type="dxa"/>
            <w:gridSpan w:val="2"/>
            <w:tcBorders>
              <w:top w:val="nil"/>
              <w:left w:val="nil"/>
              <w:bottom w:val="nil"/>
              <w:right w:val="nil"/>
            </w:tcBorders>
          </w:tcPr>
          <w:p w:rsidR="005E424C" w:rsidRPr="005E424C" w:rsidRDefault="005E424C" w:rsidP="005E424C">
            <w:pPr>
              <w:rPr>
                <w:sz w:val="8"/>
                <w:szCs w:val="8"/>
              </w:rPr>
            </w:pPr>
          </w:p>
        </w:tc>
      </w:tr>
      <w:tr w:rsidR="005E424C">
        <w:tc>
          <w:tcPr>
            <w:tcW w:w="756" w:type="dxa"/>
            <w:tcBorders>
              <w:top w:val="nil"/>
              <w:left w:val="nil"/>
              <w:bottom w:val="nil"/>
              <w:right w:val="nil"/>
            </w:tcBorders>
            <w:shd w:val="clear" w:color="auto" w:fill="E6E6E6"/>
          </w:tcPr>
          <w:p w:rsidR="005E424C" w:rsidRDefault="005E424C" w:rsidP="005C3935">
            <w:pPr>
              <w:spacing w:before="120" w:after="120"/>
              <w:rPr>
                <w:sz w:val="18"/>
                <w:szCs w:val="18"/>
              </w:rPr>
            </w:pPr>
            <w:r w:rsidRPr="005E424C">
              <w:rPr>
                <w:noProof/>
                <w:sz w:val="18"/>
                <w:szCs w:val="18"/>
                <w:lang w:val="en-US"/>
              </w:rPr>
              <w:drawing>
                <wp:inline distT="0" distB="0" distL="0" distR="0">
                  <wp:extent cx="297000" cy="324000"/>
                  <wp:effectExtent l="19050" t="0" r="780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4902" t="78372" r="90278" b="17964"/>
                          <a:stretch>
                            <a:fillRect/>
                          </a:stretch>
                        </pic:blipFill>
                        <pic:spPr bwMode="auto">
                          <a:xfrm>
                            <a:off x="0" y="0"/>
                            <a:ext cx="297000" cy="32400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5E424C" w:rsidRPr="00F07A38" w:rsidRDefault="00C85F63" w:rsidP="004016F3">
            <w:pPr>
              <w:spacing w:before="100" w:after="80"/>
              <w:rPr>
                <w:b/>
                <w:sz w:val="20"/>
                <w:szCs w:val="20"/>
              </w:rPr>
            </w:pPr>
            <w:r w:rsidRPr="00F07A38">
              <w:rPr>
                <w:b/>
                <w:sz w:val="20"/>
                <w:szCs w:val="20"/>
              </w:rPr>
              <w:t>When and how do I pay?</w:t>
            </w:r>
          </w:p>
          <w:p w:rsidR="00C85F63" w:rsidRPr="006B126B" w:rsidRDefault="009F24C9" w:rsidP="005D5173">
            <w:pPr>
              <w:spacing w:before="60" w:after="100"/>
              <w:rPr>
                <w:sz w:val="16"/>
                <w:szCs w:val="16"/>
              </w:rPr>
            </w:pPr>
            <w:r w:rsidRPr="009F24C9">
              <w:rPr>
                <w:sz w:val="18"/>
                <w:szCs w:val="16"/>
              </w:rPr>
              <w:t>Your broker will advise you of the full details of when and the options by which you can pay</w:t>
            </w:r>
          </w:p>
        </w:tc>
      </w:tr>
      <w:tr w:rsidR="005E424C">
        <w:trPr>
          <w:trHeight w:val="170"/>
        </w:trPr>
        <w:tc>
          <w:tcPr>
            <w:tcW w:w="10504" w:type="dxa"/>
            <w:gridSpan w:val="2"/>
            <w:tcBorders>
              <w:top w:val="nil"/>
              <w:left w:val="nil"/>
              <w:bottom w:val="nil"/>
              <w:right w:val="nil"/>
            </w:tcBorders>
          </w:tcPr>
          <w:p w:rsidR="005E424C" w:rsidRPr="005E424C" w:rsidRDefault="005E424C" w:rsidP="005E424C">
            <w:pPr>
              <w:rPr>
                <w:sz w:val="8"/>
                <w:szCs w:val="8"/>
              </w:rPr>
            </w:pPr>
          </w:p>
        </w:tc>
      </w:tr>
      <w:tr w:rsidR="005E424C">
        <w:tc>
          <w:tcPr>
            <w:tcW w:w="756" w:type="dxa"/>
            <w:tcBorders>
              <w:top w:val="nil"/>
              <w:left w:val="nil"/>
              <w:bottom w:val="nil"/>
              <w:right w:val="nil"/>
            </w:tcBorders>
            <w:shd w:val="clear" w:color="auto" w:fill="E6E6E6"/>
          </w:tcPr>
          <w:p w:rsidR="005E424C" w:rsidRDefault="005E424C" w:rsidP="005C3935">
            <w:pPr>
              <w:spacing w:before="120" w:after="120"/>
              <w:rPr>
                <w:sz w:val="18"/>
                <w:szCs w:val="18"/>
              </w:rPr>
            </w:pPr>
            <w:r w:rsidRPr="005E424C">
              <w:rPr>
                <w:noProof/>
                <w:sz w:val="18"/>
                <w:szCs w:val="18"/>
                <w:lang w:val="en-US"/>
              </w:rPr>
              <w:drawing>
                <wp:inline distT="0" distB="0" distL="0" distR="0">
                  <wp:extent cx="306947" cy="32400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4902" t="84617" r="90424" b="11965"/>
                          <a:stretch>
                            <a:fillRect/>
                          </a:stretch>
                        </pic:blipFill>
                        <pic:spPr bwMode="auto">
                          <a:xfrm>
                            <a:off x="0" y="0"/>
                            <a:ext cx="306947" cy="32400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5E424C" w:rsidRPr="00F07A38" w:rsidRDefault="00C85F63" w:rsidP="004016F3">
            <w:pPr>
              <w:spacing w:before="100" w:after="80"/>
              <w:rPr>
                <w:b/>
                <w:sz w:val="20"/>
                <w:szCs w:val="20"/>
              </w:rPr>
            </w:pPr>
            <w:r w:rsidRPr="00F07A38">
              <w:rPr>
                <w:b/>
                <w:sz w:val="20"/>
                <w:szCs w:val="20"/>
              </w:rPr>
              <w:t>When does the cover start and end?</w:t>
            </w:r>
          </w:p>
          <w:p w:rsidR="00C85F63" w:rsidRPr="006B126B" w:rsidRDefault="009F24C9" w:rsidP="005D5173">
            <w:pPr>
              <w:spacing w:after="100"/>
              <w:rPr>
                <w:sz w:val="16"/>
                <w:szCs w:val="16"/>
              </w:rPr>
            </w:pPr>
            <w:r w:rsidRPr="009F24C9">
              <w:rPr>
                <w:sz w:val="18"/>
                <w:szCs w:val="16"/>
              </w:rPr>
              <w:t>This insurance cover is for a 12 month period and the start date and end date of the cover are specified in your policy schedule.</w:t>
            </w:r>
          </w:p>
        </w:tc>
      </w:tr>
      <w:tr w:rsidR="005E424C">
        <w:trPr>
          <w:trHeight w:val="170"/>
        </w:trPr>
        <w:tc>
          <w:tcPr>
            <w:tcW w:w="10504" w:type="dxa"/>
            <w:gridSpan w:val="2"/>
            <w:tcBorders>
              <w:top w:val="nil"/>
              <w:left w:val="nil"/>
              <w:bottom w:val="nil"/>
              <w:right w:val="nil"/>
            </w:tcBorders>
          </w:tcPr>
          <w:p w:rsidR="005E424C" w:rsidRPr="005E424C" w:rsidRDefault="005E424C" w:rsidP="005E424C">
            <w:pPr>
              <w:rPr>
                <w:sz w:val="8"/>
                <w:szCs w:val="8"/>
              </w:rPr>
            </w:pPr>
          </w:p>
        </w:tc>
      </w:tr>
      <w:tr w:rsidR="005E424C">
        <w:tc>
          <w:tcPr>
            <w:tcW w:w="756" w:type="dxa"/>
            <w:tcBorders>
              <w:top w:val="nil"/>
              <w:left w:val="nil"/>
              <w:bottom w:val="nil"/>
              <w:right w:val="nil"/>
            </w:tcBorders>
            <w:shd w:val="clear" w:color="auto" w:fill="E6E6E6"/>
          </w:tcPr>
          <w:p w:rsidR="005E424C" w:rsidRDefault="005E424C" w:rsidP="005C3935">
            <w:pPr>
              <w:spacing w:before="120" w:after="120"/>
              <w:rPr>
                <w:sz w:val="18"/>
                <w:szCs w:val="18"/>
              </w:rPr>
            </w:pPr>
            <w:r w:rsidRPr="005E424C">
              <w:rPr>
                <w:noProof/>
                <w:sz w:val="18"/>
                <w:szCs w:val="18"/>
                <w:lang w:val="en-US"/>
              </w:rPr>
              <w:drawing>
                <wp:inline distT="0" distB="0" distL="0" distR="0">
                  <wp:extent cx="311210" cy="324000"/>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4973" t="90943" r="90278" b="5641"/>
                          <a:stretch>
                            <a:fillRect/>
                          </a:stretch>
                        </pic:blipFill>
                        <pic:spPr bwMode="auto">
                          <a:xfrm>
                            <a:off x="0" y="0"/>
                            <a:ext cx="311210" cy="324000"/>
                          </a:xfrm>
                          <a:prstGeom prst="rect">
                            <a:avLst/>
                          </a:prstGeom>
                          <a:noFill/>
                          <a:ln w="9525">
                            <a:noFill/>
                            <a:miter lim="800000"/>
                            <a:headEnd/>
                            <a:tailEnd/>
                          </a:ln>
                        </pic:spPr>
                      </pic:pic>
                    </a:graphicData>
                  </a:graphic>
                </wp:inline>
              </w:drawing>
            </w:r>
          </w:p>
        </w:tc>
        <w:tc>
          <w:tcPr>
            <w:tcW w:w="9748" w:type="dxa"/>
            <w:tcBorders>
              <w:top w:val="nil"/>
              <w:left w:val="nil"/>
              <w:bottom w:val="nil"/>
              <w:right w:val="nil"/>
            </w:tcBorders>
            <w:shd w:val="clear" w:color="auto" w:fill="E6E6E6"/>
          </w:tcPr>
          <w:p w:rsidR="005E424C" w:rsidRPr="00F07A38" w:rsidRDefault="00C85F63" w:rsidP="004016F3">
            <w:pPr>
              <w:spacing w:before="100" w:after="80"/>
              <w:rPr>
                <w:b/>
                <w:sz w:val="20"/>
                <w:szCs w:val="20"/>
              </w:rPr>
            </w:pPr>
            <w:r w:rsidRPr="00F07A38">
              <w:rPr>
                <w:b/>
                <w:sz w:val="20"/>
                <w:szCs w:val="20"/>
              </w:rPr>
              <w:t>How do I cancel the policy?</w:t>
            </w:r>
          </w:p>
          <w:p w:rsidR="00855812" w:rsidRPr="00960B22" w:rsidRDefault="009F24C9" w:rsidP="00960B22">
            <w:pPr>
              <w:spacing w:before="60"/>
              <w:jc w:val="both"/>
              <w:rPr>
                <w:sz w:val="18"/>
                <w:szCs w:val="18"/>
                <w:lang w:val="en-IE"/>
              </w:rPr>
            </w:pPr>
            <w:r w:rsidRPr="009F24C9">
              <w:rPr>
                <w:sz w:val="18"/>
                <w:szCs w:val="16"/>
              </w:rPr>
              <w:t xml:space="preserve">You can cancel this insurance at any time by contacting your broker.  </w:t>
            </w:r>
            <w:r w:rsidRPr="009F24C9">
              <w:rPr>
                <w:iCs/>
                <w:sz w:val="18"/>
                <w:szCs w:val="16"/>
              </w:rPr>
              <w:t>After the 14 day cooling off period, provided you</w:t>
            </w:r>
            <w:r w:rsidRPr="009F24C9">
              <w:rPr>
                <w:b/>
                <w:iCs/>
                <w:sz w:val="18"/>
                <w:szCs w:val="16"/>
              </w:rPr>
              <w:t xml:space="preserve"> </w:t>
            </w:r>
            <w:r w:rsidRPr="009F24C9">
              <w:rPr>
                <w:iCs/>
                <w:sz w:val="18"/>
                <w:szCs w:val="16"/>
              </w:rPr>
              <w:t xml:space="preserve">have not made a claim, </w:t>
            </w:r>
            <w:r w:rsidRPr="009F24C9">
              <w:rPr>
                <w:sz w:val="18"/>
                <w:szCs w:val="16"/>
              </w:rPr>
              <w:t>you will be entitled to a refund of any premium paid, subject to a deduction for any time for which you have been covered and the administrative cost of providing the insurance.</w:t>
            </w:r>
          </w:p>
        </w:tc>
      </w:tr>
    </w:tbl>
    <w:p w:rsidR="00E802B1" w:rsidRDefault="00E802B1" w:rsidP="00923A2D">
      <w:pPr>
        <w:autoSpaceDE w:val="0"/>
        <w:autoSpaceDN w:val="0"/>
        <w:adjustRightInd w:val="0"/>
        <w:spacing w:after="0" w:line="240" w:lineRule="auto"/>
      </w:pPr>
      <w:bookmarkStart w:id="0" w:name="_GoBack"/>
      <w:bookmarkEnd w:id="0"/>
    </w:p>
    <w:sectPr w:rsidR="00E802B1" w:rsidSect="00F86EAA">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13" w:rsidRDefault="00E57813" w:rsidP="00C85F63">
      <w:pPr>
        <w:spacing w:after="0" w:line="240" w:lineRule="auto"/>
      </w:pPr>
      <w:r>
        <w:separator/>
      </w:r>
    </w:p>
  </w:endnote>
  <w:endnote w:type="continuationSeparator" w:id="0">
    <w:p w:rsidR="00E57813" w:rsidRDefault="00E57813" w:rsidP="00C85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rinda">
    <w:altName w:val="Andale Mono"/>
    <w:charset w:val="00"/>
    <w:family w:val="swiss"/>
    <w:pitch w:val="variable"/>
    <w:sig w:usb0="0001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NewsGoth BT">
    <w:altName w:val="NewsGoth BT"/>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Facit-Ligh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13" w:rsidRDefault="00E57813" w:rsidP="00C85F63">
      <w:pPr>
        <w:spacing w:after="0" w:line="240" w:lineRule="auto"/>
      </w:pPr>
      <w:r>
        <w:separator/>
      </w:r>
    </w:p>
  </w:footnote>
  <w:footnote w:type="continuationSeparator" w:id="0">
    <w:p w:rsidR="00E57813" w:rsidRDefault="00E57813" w:rsidP="00C85F6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322EC"/>
    <w:multiLevelType w:val="hybridMultilevel"/>
    <w:tmpl w:val="27DC7C0A"/>
    <w:lvl w:ilvl="0" w:tplc="F32ED656">
      <w:start w:val="1"/>
      <w:numFmt w:val="bullet"/>
      <w:lvlText w:val=""/>
      <w:lvlJc w:val="left"/>
      <w:pPr>
        <w:ind w:left="360" w:hanging="360"/>
      </w:pPr>
      <w:rPr>
        <w:rFonts w:ascii="Wingdings" w:eastAsiaTheme="minorHAnsi" w:hAnsi="Wingdings" w:cs="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9471A"/>
    <w:multiLevelType w:val="hybridMultilevel"/>
    <w:tmpl w:val="7B86368A"/>
    <w:lvl w:ilvl="0" w:tplc="B32EA1D8">
      <w:start w:val="1"/>
      <w:numFmt w:val="bullet"/>
      <w:lvlText w:val="û"/>
      <w:lvlJc w:val="left"/>
      <w:pPr>
        <w:ind w:left="722" w:hanging="360"/>
      </w:pPr>
      <w:rPr>
        <w:rFonts w:ascii="Wingdings" w:hAnsi="Wingdings" w:hint="default"/>
        <w:b/>
        <w:color w:val="FF0000"/>
        <w:sz w:val="22"/>
        <w:szCs w:val="22"/>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nsid w:val="0AEB095B"/>
    <w:multiLevelType w:val="hybridMultilevel"/>
    <w:tmpl w:val="1A08FC3C"/>
    <w:lvl w:ilvl="0" w:tplc="B32EA1D8">
      <w:start w:val="1"/>
      <w:numFmt w:val="bullet"/>
      <w:lvlText w:val="û"/>
      <w:lvlJc w:val="left"/>
      <w:pPr>
        <w:ind w:left="360" w:hanging="360"/>
      </w:pPr>
      <w:rPr>
        <w:rFonts w:ascii="Wingdings" w:hAnsi="Wingdings" w:hint="default"/>
        <w:b/>
        <w:color w:val="FF00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F84C01"/>
    <w:multiLevelType w:val="hybridMultilevel"/>
    <w:tmpl w:val="F48C509C"/>
    <w:lvl w:ilvl="0" w:tplc="56CE73A0">
      <w:start w:val="1"/>
      <w:numFmt w:val="bullet"/>
      <w:lvlText w:val=""/>
      <w:lvlJc w:val="left"/>
      <w:pPr>
        <w:ind w:left="1004" w:hanging="360"/>
      </w:pPr>
      <w:rPr>
        <w:rFonts w:ascii="Wingdings" w:hAnsi="Wingdings" w:cs="Arial" w:hint="default"/>
        <w:b/>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DE77824"/>
    <w:multiLevelType w:val="hybridMultilevel"/>
    <w:tmpl w:val="7A7419E6"/>
    <w:lvl w:ilvl="0" w:tplc="BCFC8482">
      <w:start w:val="1"/>
      <w:numFmt w:val="bullet"/>
      <w:lvlText w:val="!"/>
      <w:lvlJc w:val="left"/>
      <w:pPr>
        <w:ind w:left="720" w:hanging="360"/>
      </w:pPr>
      <w:rPr>
        <w:rFonts w:ascii="Vrinda" w:hAnsi="Vrinda" w:hint="default"/>
        <w:b/>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93F18"/>
    <w:multiLevelType w:val="hybridMultilevel"/>
    <w:tmpl w:val="CB4E1B5E"/>
    <w:lvl w:ilvl="0" w:tplc="9C5052DC">
      <w:start w:val="1"/>
      <w:numFmt w:val="bullet"/>
      <w:lvlText w:val="ü"/>
      <w:lvlJc w:val="left"/>
      <w:pPr>
        <w:ind w:left="360" w:hanging="360"/>
      </w:pPr>
      <w:rPr>
        <w:rFonts w:ascii="Wingdings" w:hAnsi="Wingdings" w:hint="default"/>
        <w:b/>
        <w:color w:val="auto"/>
        <w:sz w:val="20"/>
        <w:szCs w:val="20"/>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7">
    <w:nsid w:val="26165D29"/>
    <w:multiLevelType w:val="hybridMultilevel"/>
    <w:tmpl w:val="783E75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0F7043"/>
    <w:multiLevelType w:val="hybridMultilevel"/>
    <w:tmpl w:val="FA9279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792F99"/>
    <w:multiLevelType w:val="hybridMultilevel"/>
    <w:tmpl w:val="98CAF6F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B36C0A"/>
    <w:multiLevelType w:val="hybridMultilevel"/>
    <w:tmpl w:val="F8AA35DC"/>
    <w:lvl w:ilvl="0" w:tplc="08090001">
      <w:start w:val="1"/>
      <w:numFmt w:val="bullet"/>
      <w:lvlText w:val=""/>
      <w:lvlJc w:val="left"/>
      <w:pPr>
        <w:ind w:left="720" w:hanging="360"/>
      </w:pPr>
      <w:rPr>
        <w:rFonts w:ascii="Symbol" w:hAnsi="Symbol" w:hint="default"/>
        <w:b/>
        <w:color w:val="E36C0A" w:themeColor="accent6"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6059B"/>
    <w:multiLevelType w:val="hybridMultilevel"/>
    <w:tmpl w:val="9A02C3FE"/>
    <w:lvl w:ilvl="0" w:tplc="61D0CF2A">
      <w:start w:val="1"/>
      <w:numFmt w:val="bullet"/>
      <w:lvlText w:val="ü"/>
      <w:lvlJc w:val="left"/>
      <w:pPr>
        <w:ind w:left="360" w:hanging="360"/>
      </w:pPr>
      <w:rPr>
        <w:rFonts w:ascii="Wingdings" w:hAnsi="Wingdings" w:hint="default"/>
        <w:b/>
        <w:color w:val="00B05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D1921"/>
    <w:multiLevelType w:val="hybridMultilevel"/>
    <w:tmpl w:val="F6665ECC"/>
    <w:lvl w:ilvl="0" w:tplc="B32EA1D8">
      <w:start w:val="1"/>
      <w:numFmt w:val="bullet"/>
      <w:lvlText w:val="û"/>
      <w:lvlJc w:val="left"/>
      <w:pPr>
        <w:ind w:left="360" w:hanging="360"/>
      </w:pPr>
      <w:rPr>
        <w:rFonts w:ascii="Wingdings" w:hAnsi="Wingdings" w:hint="default"/>
        <w:b/>
        <w:color w:val="FF00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BE7FA0"/>
    <w:multiLevelType w:val="hybridMultilevel"/>
    <w:tmpl w:val="E2C08238"/>
    <w:lvl w:ilvl="0" w:tplc="387A0A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E20DF"/>
    <w:multiLevelType w:val="hybridMultilevel"/>
    <w:tmpl w:val="41A24D48"/>
    <w:lvl w:ilvl="0" w:tplc="08090001">
      <w:start w:val="1"/>
      <w:numFmt w:val="bullet"/>
      <w:lvlText w:val=""/>
      <w:lvlJc w:val="left"/>
      <w:pPr>
        <w:ind w:left="720" w:hanging="360"/>
      </w:pPr>
      <w:rPr>
        <w:rFonts w:ascii="Symbol" w:hAnsi="Symbol" w:hint="default"/>
        <w:b/>
        <w:i w:val="0"/>
        <w:color w:val="E36C0A" w:themeColor="accent6"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82AD4"/>
    <w:multiLevelType w:val="hybridMultilevel"/>
    <w:tmpl w:val="81922582"/>
    <w:lvl w:ilvl="0" w:tplc="3578A938">
      <w:start w:val="1"/>
      <w:numFmt w:val="bullet"/>
      <w:lvlText w:val=""/>
      <w:lvlJc w:val="left"/>
      <w:pPr>
        <w:ind w:left="720" w:hanging="360"/>
      </w:pPr>
      <w:rPr>
        <w:rFonts w:ascii="Symbol" w:hAnsi="Symbol" w:hint="default"/>
        <w:b/>
        <w:color w:val="E36C0A" w:themeColor="accent6"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07CF4"/>
    <w:multiLevelType w:val="hybridMultilevel"/>
    <w:tmpl w:val="BB4E48C0"/>
    <w:lvl w:ilvl="0" w:tplc="BCFC8482">
      <w:start w:val="1"/>
      <w:numFmt w:val="bullet"/>
      <w:lvlText w:val="!"/>
      <w:lvlJc w:val="left"/>
      <w:pPr>
        <w:ind w:left="360" w:hanging="360"/>
      </w:pPr>
      <w:rPr>
        <w:rFonts w:ascii="Vrinda" w:hAnsi="Vrinda" w:hint="default"/>
        <w:b/>
        <w:color w:val="FF00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AB1C8C"/>
    <w:multiLevelType w:val="hybridMultilevel"/>
    <w:tmpl w:val="B3265F3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60F1F29"/>
    <w:multiLevelType w:val="hybridMultilevel"/>
    <w:tmpl w:val="264A648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6FC19B1"/>
    <w:multiLevelType w:val="hybridMultilevel"/>
    <w:tmpl w:val="2C36728A"/>
    <w:lvl w:ilvl="0" w:tplc="ADD2E834">
      <w:start w:val="1"/>
      <w:numFmt w:val="bullet"/>
      <w:lvlText w:val=""/>
      <w:lvlJc w:val="left"/>
      <w:pPr>
        <w:ind w:left="502" w:hanging="360"/>
      </w:pPr>
      <w:rPr>
        <w:rFonts w:ascii="Symbol" w:hAnsi="Symbol" w:hint="default"/>
        <w:sz w:val="18"/>
        <w:szCs w:val="1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0">
    <w:nsid w:val="38A970D4"/>
    <w:multiLevelType w:val="hybridMultilevel"/>
    <w:tmpl w:val="6680D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D55338"/>
    <w:multiLevelType w:val="hybridMultilevel"/>
    <w:tmpl w:val="AC304F58"/>
    <w:lvl w:ilvl="0" w:tplc="08090001">
      <w:start w:val="1"/>
      <w:numFmt w:val="bullet"/>
      <w:lvlText w:val=""/>
      <w:lvlJc w:val="left"/>
      <w:pPr>
        <w:ind w:left="720" w:hanging="360"/>
      </w:pPr>
      <w:rPr>
        <w:rFonts w:ascii="Symbol" w:hAnsi="Symbol" w:hint="default"/>
        <w:color w:val="000000" w:themeColor="text1"/>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25186"/>
    <w:multiLevelType w:val="hybridMultilevel"/>
    <w:tmpl w:val="A860E91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DCC4BCB"/>
    <w:multiLevelType w:val="hybridMultilevel"/>
    <w:tmpl w:val="61F45E8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DDA7B34"/>
    <w:multiLevelType w:val="hybridMultilevel"/>
    <w:tmpl w:val="84FC1E78"/>
    <w:lvl w:ilvl="0" w:tplc="BCFC8482">
      <w:start w:val="1"/>
      <w:numFmt w:val="bullet"/>
      <w:lvlText w:val="!"/>
      <w:lvlJc w:val="left"/>
      <w:pPr>
        <w:ind w:left="1446" w:hanging="360"/>
      </w:pPr>
      <w:rPr>
        <w:rFonts w:ascii="Vrinda" w:hAnsi="Vrinda" w:hint="default"/>
        <w:b/>
        <w:color w:val="FF0000"/>
        <w:sz w:val="22"/>
        <w:szCs w:val="22"/>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nsid w:val="4DE355FE"/>
    <w:multiLevelType w:val="hybridMultilevel"/>
    <w:tmpl w:val="098C979A"/>
    <w:lvl w:ilvl="0" w:tplc="95E616A4">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013E97"/>
    <w:multiLevelType w:val="hybridMultilevel"/>
    <w:tmpl w:val="D0501660"/>
    <w:lvl w:ilvl="0" w:tplc="387A0A24">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ED75D59"/>
    <w:multiLevelType w:val="hybridMultilevel"/>
    <w:tmpl w:val="E2DA4716"/>
    <w:lvl w:ilvl="0" w:tplc="B32EA1D8">
      <w:start w:val="1"/>
      <w:numFmt w:val="bullet"/>
      <w:lvlText w:val="û"/>
      <w:lvlJc w:val="left"/>
      <w:pPr>
        <w:ind w:left="720" w:hanging="360"/>
      </w:pPr>
      <w:rPr>
        <w:rFonts w:ascii="Wingdings" w:hAnsi="Wingdings" w:hint="default"/>
        <w:b/>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F263BF"/>
    <w:multiLevelType w:val="hybridMultilevel"/>
    <w:tmpl w:val="C7A0F428"/>
    <w:lvl w:ilvl="0" w:tplc="61D0CF2A">
      <w:start w:val="1"/>
      <w:numFmt w:val="bullet"/>
      <w:lvlText w:val="ü"/>
      <w:lvlJc w:val="left"/>
      <w:pPr>
        <w:ind w:left="360" w:hanging="360"/>
      </w:pPr>
      <w:rPr>
        <w:rFonts w:ascii="Wingdings" w:hAnsi="Wingdings" w:hint="default"/>
        <w:b/>
        <w:color w:val="00B05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400745"/>
    <w:multiLevelType w:val="hybridMultilevel"/>
    <w:tmpl w:val="F5242ACA"/>
    <w:lvl w:ilvl="0" w:tplc="DC263BD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855159"/>
    <w:multiLevelType w:val="hybridMultilevel"/>
    <w:tmpl w:val="03F8B526"/>
    <w:lvl w:ilvl="0" w:tplc="BCFC8482">
      <w:start w:val="1"/>
      <w:numFmt w:val="bullet"/>
      <w:lvlText w:val="!"/>
      <w:lvlJc w:val="left"/>
      <w:pPr>
        <w:ind w:left="720" w:hanging="360"/>
      </w:pPr>
      <w:rPr>
        <w:rFonts w:ascii="Vrinda" w:hAnsi="Vrinda" w:hint="default"/>
        <w:b/>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88237B"/>
    <w:multiLevelType w:val="hybridMultilevel"/>
    <w:tmpl w:val="C64010F0"/>
    <w:lvl w:ilvl="0" w:tplc="61D0CF2A">
      <w:start w:val="1"/>
      <w:numFmt w:val="bullet"/>
      <w:lvlText w:val="ü"/>
      <w:lvlJc w:val="left"/>
      <w:pPr>
        <w:ind w:left="1440" w:hanging="360"/>
      </w:pPr>
      <w:rPr>
        <w:rFonts w:ascii="Wingdings" w:hAnsi="Wingdings" w:hint="default"/>
        <w:b/>
        <w:color w:val="00B05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CC3C53"/>
    <w:multiLevelType w:val="hybridMultilevel"/>
    <w:tmpl w:val="EE062114"/>
    <w:lvl w:ilvl="0" w:tplc="08090001">
      <w:start w:val="1"/>
      <w:numFmt w:val="bullet"/>
      <w:lvlText w:val=""/>
      <w:lvlJc w:val="left"/>
      <w:pPr>
        <w:ind w:left="2621" w:hanging="360"/>
      </w:pPr>
      <w:rPr>
        <w:rFonts w:ascii="Symbol" w:hAnsi="Symbol" w:hint="default"/>
      </w:rPr>
    </w:lvl>
    <w:lvl w:ilvl="1" w:tplc="08090003" w:tentative="1">
      <w:start w:val="1"/>
      <w:numFmt w:val="bullet"/>
      <w:lvlText w:val="o"/>
      <w:lvlJc w:val="left"/>
      <w:pPr>
        <w:ind w:left="3341" w:hanging="360"/>
      </w:pPr>
      <w:rPr>
        <w:rFonts w:ascii="Courier New" w:hAnsi="Courier New" w:cs="Courier New" w:hint="default"/>
      </w:rPr>
    </w:lvl>
    <w:lvl w:ilvl="2" w:tplc="08090005" w:tentative="1">
      <w:start w:val="1"/>
      <w:numFmt w:val="bullet"/>
      <w:lvlText w:val=""/>
      <w:lvlJc w:val="left"/>
      <w:pPr>
        <w:ind w:left="4061" w:hanging="360"/>
      </w:pPr>
      <w:rPr>
        <w:rFonts w:ascii="Wingdings" w:hAnsi="Wingdings" w:hint="default"/>
      </w:rPr>
    </w:lvl>
    <w:lvl w:ilvl="3" w:tplc="08090001" w:tentative="1">
      <w:start w:val="1"/>
      <w:numFmt w:val="bullet"/>
      <w:lvlText w:val=""/>
      <w:lvlJc w:val="left"/>
      <w:pPr>
        <w:ind w:left="4781" w:hanging="360"/>
      </w:pPr>
      <w:rPr>
        <w:rFonts w:ascii="Symbol" w:hAnsi="Symbol" w:hint="default"/>
      </w:rPr>
    </w:lvl>
    <w:lvl w:ilvl="4" w:tplc="08090003" w:tentative="1">
      <w:start w:val="1"/>
      <w:numFmt w:val="bullet"/>
      <w:lvlText w:val="o"/>
      <w:lvlJc w:val="left"/>
      <w:pPr>
        <w:ind w:left="5501" w:hanging="360"/>
      </w:pPr>
      <w:rPr>
        <w:rFonts w:ascii="Courier New" w:hAnsi="Courier New" w:cs="Courier New" w:hint="default"/>
      </w:rPr>
    </w:lvl>
    <w:lvl w:ilvl="5" w:tplc="08090005" w:tentative="1">
      <w:start w:val="1"/>
      <w:numFmt w:val="bullet"/>
      <w:lvlText w:val=""/>
      <w:lvlJc w:val="left"/>
      <w:pPr>
        <w:ind w:left="6221" w:hanging="360"/>
      </w:pPr>
      <w:rPr>
        <w:rFonts w:ascii="Wingdings" w:hAnsi="Wingdings" w:hint="default"/>
      </w:rPr>
    </w:lvl>
    <w:lvl w:ilvl="6" w:tplc="08090001" w:tentative="1">
      <w:start w:val="1"/>
      <w:numFmt w:val="bullet"/>
      <w:lvlText w:val=""/>
      <w:lvlJc w:val="left"/>
      <w:pPr>
        <w:ind w:left="6941" w:hanging="360"/>
      </w:pPr>
      <w:rPr>
        <w:rFonts w:ascii="Symbol" w:hAnsi="Symbol" w:hint="default"/>
      </w:rPr>
    </w:lvl>
    <w:lvl w:ilvl="7" w:tplc="08090003" w:tentative="1">
      <w:start w:val="1"/>
      <w:numFmt w:val="bullet"/>
      <w:lvlText w:val="o"/>
      <w:lvlJc w:val="left"/>
      <w:pPr>
        <w:ind w:left="7661" w:hanging="360"/>
      </w:pPr>
      <w:rPr>
        <w:rFonts w:ascii="Courier New" w:hAnsi="Courier New" w:cs="Courier New" w:hint="default"/>
      </w:rPr>
    </w:lvl>
    <w:lvl w:ilvl="8" w:tplc="08090005" w:tentative="1">
      <w:start w:val="1"/>
      <w:numFmt w:val="bullet"/>
      <w:lvlText w:val=""/>
      <w:lvlJc w:val="left"/>
      <w:pPr>
        <w:ind w:left="8381" w:hanging="360"/>
      </w:pPr>
      <w:rPr>
        <w:rFonts w:ascii="Wingdings" w:hAnsi="Wingdings" w:hint="default"/>
      </w:rPr>
    </w:lvl>
  </w:abstractNum>
  <w:abstractNum w:abstractNumId="33">
    <w:nsid w:val="5C6F5716"/>
    <w:multiLevelType w:val="hybridMultilevel"/>
    <w:tmpl w:val="4FCA80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C7538C1"/>
    <w:multiLevelType w:val="hybridMultilevel"/>
    <w:tmpl w:val="E9CA8EC2"/>
    <w:lvl w:ilvl="0" w:tplc="186E7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FE3CBD"/>
    <w:multiLevelType w:val="hybridMultilevel"/>
    <w:tmpl w:val="DEECB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B153B2"/>
    <w:multiLevelType w:val="hybridMultilevel"/>
    <w:tmpl w:val="598A6892"/>
    <w:lvl w:ilvl="0" w:tplc="61D0CF2A">
      <w:start w:val="1"/>
      <w:numFmt w:val="bullet"/>
      <w:lvlText w:val="ü"/>
      <w:lvlJc w:val="left"/>
      <w:pPr>
        <w:ind w:left="360" w:hanging="360"/>
      </w:pPr>
      <w:rPr>
        <w:rFonts w:ascii="Wingdings" w:hAnsi="Wingdings" w:hint="default"/>
        <w:b/>
        <w:color w:val="00B05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5309DA"/>
    <w:multiLevelType w:val="hybridMultilevel"/>
    <w:tmpl w:val="C4EAFD76"/>
    <w:lvl w:ilvl="0" w:tplc="61D0CF2A">
      <w:start w:val="1"/>
      <w:numFmt w:val="bullet"/>
      <w:lvlText w:val="ü"/>
      <w:lvlJc w:val="left"/>
      <w:pPr>
        <w:ind w:left="360" w:hanging="360"/>
      </w:pPr>
      <w:rPr>
        <w:rFonts w:ascii="Wingdings" w:hAnsi="Wingdings" w:hint="default"/>
        <w:b/>
        <w:color w:val="00B05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07036E"/>
    <w:multiLevelType w:val="hybridMultilevel"/>
    <w:tmpl w:val="713A2AB2"/>
    <w:lvl w:ilvl="0" w:tplc="EF1EF15A">
      <w:start w:val="1"/>
      <w:numFmt w:val="bullet"/>
      <w:lvlText w:val="û"/>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C601F9"/>
    <w:multiLevelType w:val="hybridMultilevel"/>
    <w:tmpl w:val="01FA2CC6"/>
    <w:lvl w:ilvl="0" w:tplc="12EC6192">
      <w:start w:val="1"/>
      <w:numFmt w:val="bullet"/>
      <w:lvlText w:val=""/>
      <w:lvlJc w:val="left"/>
      <w:pPr>
        <w:ind w:left="720" w:hanging="360"/>
      </w:pPr>
      <w:rPr>
        <w:rFonts w:ascii="Wingdings" w:eastAsiaTheme="minorHAnsi" w:hAnsi="Wingding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D73E91"/>
    <w:multiLevelType w:val="hybridMultilevel"/>
    <w:tmpl w:val="0A9EB0F4"/>
    <w:lvl w:ilvl="0" w:tplc="61D0CF2A">
      <w:start w:val="1"/>
      <w:numFmt w:val="bullet"/>
      <w:lvlText w:val="ü"/>
      <w:lvlJc w:val="left"/>
      <w:pPr>
        <w:ind w:left="720" w:hanging="360"/>
      </w:pPr>
      <w:rPr>
        <w:rFonts w:ascii="Wingdings" w:hAnsi="Wingdings" w:hint="default"/>
        <w:b/>
        <w:color w:val="00B05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183890"/>
    <w:multiLevelType w:val="hybridMultilevel"/>
    <w:tmpl w:val="E9061208"/>
    <w:lvl w:ilvl="0" w:tplc="186E7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E312F6"/>
    <w:multiLevelType w:val="hybridMultilevel"/>
    <w:tmpl w:val="56486708"/>
    <w:lvl w:ilvl="0" w:tplc="B32EA1D8">
      <w:start w:val="1"/>
      <w:numFmt w:val="bullet"/>
      <w:lvlText w:val="û"/>
      <w:lvlJc w:val="left"/>
      <w:pPr>
        <w:ind w:left="360" w:hanging="360"/>
      </w:pPr>
      <w:rPr>
        <w:rFonts w:ascii="Wingdings" w:hAnsi="Wingdings" w:hint="default"/>
        <w:b/>
        <w:color w:val="FF000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720044"/>
    <w:multiLevelType w:val="hybridMultilevel"/>
    <w:tmpl w:val="CCD48082"/>
    <w:lvl w:ilvl="0" w:tplc="FAEE10C0">
      <w:start w:val="1"/>
      <w:numFmt w:val="bullet"/>
      <w:lvlText w:val=""/>
      <w:lvlJc w:val="left"/>
      <w:pPr>
        <w:ind w:left="360" w:hanging="360"/>
      </w:pPr>
      <w:rPr>
        <w:rFonts w:ascii="Symbol" w:hAnsi="Symbol" w:hint="default"/>
        <w:b w:val="0"/>
        <w:color w:val="auto"/>
        <w:sz w:val="16"/>
        <w:szCs w:val="16"/>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44">
    <w:nsid w:val="7ACE13D3"/>
    <w:multiLevelType w:val="hybridMultilevel"/>
    <w:tmpl w:val="75E08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121D52"/>
    <w:multiLevelType w:val="hybridMultilevel"/>
    <w:tmpl w:val="0BB45AD0"/>
    <w:lvl w:ilvl="0" w:tplc="61D0CF2A">
      <w:start w:val="1"/>
      <w:numFmt w:val="bullet"/>
      <w:lvlText w:val="ü"/>
      <w:lvlJc w:val="left"/>
      <w:pPr>
        <w:ind w:left="722" w:hanging="360"/>
      </w:pPr>
      <w:rPr>
        <w:rFonts w:ascii="Wingdings" w:hAnsi="Wingdings" w:hint="default"/>
        <w:b/>
        <w:color w:val="00B050"/>
        <w:sz w:val="20"/>
        <w:szCs w:val="20"/>
      </w:rPr>
    </w:lvl>
    <w:lvl w:ilvl="1" w:tplc="08090001">
      <w:start w:val="1"/>
      <w:numFmt w:val="bullet"/>
      <w:lvlText w:val=""/>
      <w:lvlJc w:val="left"/>
      <w:pPr>
        <w:ind w:left="1440" w:hanging="360"/>
      </w:pPr>
      <w:rPr>
        <w:rFonts w:ascii="Symbol" w:hAnsi="Symbol" w:hint="default"/>
        <w:color w:val="000000" w:themeColor="text1"/>
        <w:sz w:val="14"/>
        <w:szCs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
  </w:num>
  <w:num w:numId="4">
    <w:abstractNumId w:val="45"/>
  </w:num>
  <w:num w:numId="5">
    <w:abstractNumId w:val="6"/>
  </w:num>
  <w:num w:numId="6">
    <w:abstractNumId w:val="43"/>
  </w:num>
  <w:num w:numId="7">
    <w:abstractNumId w:val="15"/>
  </w:num>
  <w:num w:numId="8">
    <w:abstractNumId w:val="21"/>
  </w:num>
  <w:num w:numId="9">
    <w:abstractNumId w:val="29"/>
  </w:num>
  <w:num w:numId="10">
    <w:abstractNumId w:val="10"/>
  </w:num>
  <w:num w:numId="11">
    <w:abstractNumId w:val="40"/>
  </w:num>
  <w:num w:numId="12">
    <w:abstractNumId w:val="31"/>
  </w:num>
  <w:num w:numId="13">
    <w:abstractNumId w:val="11"/>
  </w:num>
  <w:num w:numId="14">
    <w:abstractNumId w:val="7"/>
  </w:num>
  <w:num w:numId="15">
    <w:abstractNumId w:val="33"/>
  </w:num>
  <w:num w:numId="16">
    <w:abstractNumId w:val="36"/>
  </w:num>
  <w:num w:numId="17">
    <w:abstractNumId w:val="28"/>
  </w:num>
  <w:num w:numId="18">
    <w:abstractNumId w:val="3"/>
  </w:num>
  <w:num w:numId="19">
    <w:abstractNumId w:val="37"/>
  </w:num>
  <w:num w:numId="20">
    <w:abstractNumId w:val="12"/>
  </w:num>
  <w:num w:numId="21">
    <w:abstractNumId w:val="27"/>
  </w:num>
  <w:num w:numId="22">
    <w:abstractNumId w:val="16"/>
  </w:num>
  <w:num w:numId="23">
    <w:abstractNumId w:val="42"/>
  </w:num>
  <w:num w:numId="24">
    <w:abstractNumId w:val="20"/>
  </w:num>
  <w:num w:numId="25">
    <w:abstractNumId w:val="35"/>
  </w:num>
  <w:num w:numId="26">
    <w:abstractNumId w:val="44"/>
  </w:num>
  <w:num w:numId="27">
    <w:abstractNumId w:val="8"/>
  </w:num>
  <w:num w:numId="28">
    <w:abstractNumId w:val="23"/>
  </w:num>
  <w:num w:numId="29">
    <w:abstractNumId w:val="17"/>
  </w:num>
  <w:num w:numId="30">
    <w:abstractNumId w:val="9"/>
  </w:num>
  <w:num w:numId="31">
    <w:abstractNumId w:val="18"/>
  </w:num>
  <w:num w:numId="32">
    <w:abstractNumId w:val="22"/>
  </w:num>
  <w:num w:numId="33">
    <w:abstractNumId w:val="14"/>
  </w:num>
  <w:num w:numId="34">
    <w:abstractNumId w:val="39"/>
  </w:num>
  <w:num w:numId="35">
    <w:abstractNumId w:val="1"/>
  </w:num>
  <w:num w:numId="36">
    <w:abstractNumId w:val="26"/>
  </w:num>
  <w:num w:numId="37">
    <w:abstractNumId w:val="4"/>
  </w:num>
  <w:num w:numId="38">
    <w:abstractNumId w:val="34"/>
  </w:num>
  <w:num w:numId="39">
    <w:abstractNumId w:val="41"/>
  </w:num>
  <w:num w:numId="40">
    <w:abstractNumId w:val="13"/>
  </w:num>
  <w:num w:numId="41">
    <w:abstractNumId w:val="30"/>
  </w:num>
  <w:num w:numId="42">
    <w:abstractNumId w:val="24"/>
  </w:num>
  <w:num w:numId="43">
    <w:abstractNumId w:val="5"/>
  </w:num>
  <w:num w:numId="44">
    <w:abstractNumId w:val="19"/>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86EAA"/>
    <w:rsid w:val="00001040"/>
    <w:rsid w:val="00004263"/>
    <w:rsid w:val="00030C15"/>
    <w:rsid w:val="000358F3"/>
    <w:rsid w:val="00052BBD"/>
    <w:rsid w:val="00052E4D"/>
    <w:rsid w:val="00055E30"/>
    <w:rsid w:val="000646DC"/>
    <w:rsid w:val="00076323"/>
    <w:rsid w:val="000827E2"/>
    <w:rsid w:val="00087A5E"/>
    <w:rsid w:val="000A4D61"/>
    <w:rsid w:val="00117499"/>
    <w:rsid w:val="00126A79"/>
    <w:rsid w:val="0013699A"/>
    <w:rsid w:val="0018647E"/>
    <w:rsid w:val="001908CA"/>
    <w:rsid w:val="001A6292"/>
    <w:rsid w:val="001B4492"/>
    <w:rsid w:val="001D188F"/>
    <w:rsid w:val="001D4E77"/>
    <w:rsid w:val="001D53D3"/>
    <w:rsid w:val="001D7FA1"/>
    <w:rsid w:val="001E16B1"/>
    <w:rsid w:val="00206A3D"/>
    <w:rsid w:val="00211933"/>
    <w:rsid w:val="0021560C"/>
    <w:rsid w:val="00225C4E"/>
    <w:rsid w:val="002452A3"/>
    <w:rsid w:val="00256D12"/>
    <w:rsid w:val="00275E60"/>
    <w:rsid w:val="002923DD"/>
    <w:rsid w:val="002A1F93"/>
    <w:rsid w:val="002A46C0"/>
    <w:rsid w:val="002A79C7"/>
    <w:rsid w:val="002B05DE"/>
    <w:rsid w:val="002C47FC"/>
    <w:rsid w:val="002D304D"/>
    <w:rsid w:val="002E76E7"/>
    <w:rsid w:val="003344C2"/>
    <w:rsid w:val="00336920"/>
    <w:rsid w:val="003431F9"/>
    <w:rsid w:val="0034780C"/>
    <w:rsid w:val="00372E83"/>
    <w:rsid w:val="00380FEE"/>
    <w:rsid w:val="00393209"/>
    <w:rsid w:val="0039454D"/>
    <w:rsid w:val="003A2682"/>
    <w:rsid w:val="003D31BB"/>
    <w:rsid w:val="003D6A75"/>
    <w:rsid w:val="003E56E9"/>
    <w:rsid w:val="003F14F1"/>
    <w:rsid w:val="004016F3"/>
    <w:rsid w:val="00404932"/>
    <w:rsid w:val="00413802"/>
    <w:rsid w:val="0043654C"/>
    <w:rsid w:val="0043779B"/>
    <w:rsid w:val="00443260"/>
    <w:rsid w:val="0045654E"/>
    <w:rsid w:val="00476D7A"/>
    <w:rsid w:val="00480169"/>
    <w:rsid w:val="004822B3"/>
    <w:rsid w:val="004915C1"/>
    <w:rsid w:val="004A2759"/>
    <w:rsid w:val="004A4E13"/>
    <w:rsid w:val="004B07E7"/>
    <w:rsid w:val="004C322A"/>
    <w:rsid w:val="004C473B"/>
    <w:rsid w:val="004D2243"/>
    <w:rsid w:val="004D364E"/>
    <w:rsid w:val="004D7E2A"/>
    <w:rsid w:val="004E0853"/>
    <w:rsid w:val="004F7AB8"/>
    <w:rsid w:val="00502458"/>
    <w:rsid w:val="0051433C"/>
    <w:rsid w:val="005332A9"/>
    <w:rsid w:val="005445BA"/>
    <w:rsid w:val="0056754E"/>
    <w:rsid w:val="005847AD"/>
    <w:rsid w:val="00587FFA"/>
    <w:rsid w:val="005A3E3D"/>
    <w:rsid w:val="005C35E6"/>
    <w:rsid w:val="005C3935"/>
    <w:rsid w:val="005D5173"/>
    <w:rsid w:val="005D644A"/>
    <w:rsid w:val="005E424C"/>
    <w:rsid w:val="005E69EC"/>
    <w:rsid w:val="005F6FB4"/>
    <w:rsid w:val="00601A41"/>
    <w:rsid w:val="00611110"/>
    <w:rsid w:val="00617427"/>
    <w:rsid w:val="006347C4"/>
    <w:rsid w:val="00645C84"/>
    <w:rsid w:val="00675DED"/>
    <w:rsid w:val="006A58A8"/>
    <w:rsid w:val="006B126B"/>
    <w:rsid w:val="006D37B7"/>
    <w:rsid w:val="006D4767"/>
    <w:rsid w:val="006E72C5"/>
    <w:rsid w:val="006F1393"/>
    <w:rsid w:val="006F2224"/>
    <w:rsid w:val="00703AB5"/>
    <w:rsid w:val="00712A04"/>
    <w:rsid w:val="00723A89"/>
    <w:rsid w:val="007264A4"/>
    <w:rsid w:val="00731EAF"/>
    <w:rsid w:val="007337CD"/>
    <w:rsid w:val="007504B9"/>
    <w:rsid w:val="007535B1"/>
    <w:rsid w:val="00756950"/>
    <w:rsid w:val="0075735D"/>
    <w:rsid w:val="00757FEA"/>
    <w:rsid w:val="00785D0C"/>
    <w:rsid w:val="0079164A"/>
    <w:rsid w:val="007A0FBD"/>
    <w:rsid w:val="007C4CC6"/>
    <w:rsid w:val="007E3D43"/>
    <w:rsid w:val="007E6207"/>
    <w:rsid w:val="00817F62"/>
    <w:rsid w:val="00855812"/>
    <w:rsid w:val="00872A8E"/>
    <w:rsid w:val="0089616C"/>
    <w:rsid w:val="008A6913"/>
    <w:rsid w:val="008C5B99"/>
    <w:rsid w:val="008D5D8A"/>
    <w:rsid w:val="009011F4"/>
    <w:rsid w:val="009013D0"/>
    <w:rsid w:val="009128D1"/>
    <w:rsid w:val="00923375"/>
    <w:rsid w:val="00923A2D"/>
    <w:rsid w:val="00932343"/>
    <w:rsid w:val="00933DBA"/>
    <w:rsid w:val="00942389"/>
    <w:rsid w:val="00960B22"/>
    <w:rsid w:val="00962C4F"/>
    <w:rsid w:val="00977175"/>
    <w:rsid w:val="00977D6F"/>
    <w:rsid w:val="00982035"/>
    <w:rsid w:val="009828C4"/>
    <w:rsid w:val="00983351"/>
    <w:rsid w:val="00985FA0"/>
    <w:rsid w:val="009901E4"/>
    <w:rsid w:val="00992DEC"/>
    <w:rsid w:val="009B492A"/>
    <w:rsid w:val="009D6359"/>
    <w:rsid w:val="009F24C9"/>
    <w:rsid w:val="00A10CBD"/>
    <w:rsid w:val="00A125FB"/>
    <w:rsid w:val="00A16B0D"/>
    <w:rsid w:val="00A1771C"/>
    <w:rsid w:val="00A2094E"/>
    <w:rsid w:val="00A2725D"/>
    <w:rsid w:val="00A46A4C"/>
    <w:rsid w:val="00A57B54"/>
    <w:rsid w:val="00A67A31"/>
    <w:rsid w:val="00A91B63"/>
    <w:rsid w:val="00AA044E"/>
    <w:rsid w:val="00AB38A7"/>
    <w:rsid w:val="00AD55C8"/>
    <w:rsid w:val="00AF4D44"/>
    <w:rsid w:val="00B00492"/>
    <w:rsid w:val="00B17D53"/>
    <w:rsid w:val="00B31570"/>
    <w:rsid w:val="00B40A5D"/>
    <w:rsid w:val="00B45429"/>
    <w:rsid w:val="00B50AEF"/>
    <w:rsid w:val="00B5183C"/>
    <w:rsid w:val="00B55340"/>
    <w:rsid w:val="00B578D6"/>
    <w:rsid w:val="00B61CE8"/>
    <w:rsid w:val="00B84AC9"/>
    <w:rsid w:val="00B85674"/>
    <w:rsid w:val="00BA147C"/>
    <w:rsid w:val="00BB469F"/>
    <w:rsid w:val="00BD2268"/>
    <w:rsid w:val="00BD5DC2"/>
    <w:rsid w:val="00BD7334"/>
    <w:rsid w:val="00BE4994"/>
    <w:rsid w:val="00BE598F"/>
    <w:rsid w:val="00BF3993"/>
    <w:rsid w:val="00C10304"/>
    <w:rsid w:val="00C10E60"/>
    <w:rsid w:val="00C3576D"/>
    <w:rsid w:val="00C36AD2"/>
    <w:rsid w:val="00C40400"/>
    <w:rsid w:val="00C44759"/>
    <w:rsid w:val="00C63A33"/>
    <w:rsid w:val="00C647F4"/>
    <w:rsid w:val="00C64AA3"/>
    <w:rsid w:val="00C70035"/>
    <w:rsid w:val="00C8077E"/>
    <w:rsid w:val="00C855B7"/>
    <w:rsid w:val="00C85F63"/>
    <w:rsid w:val="00C95786"/>
    <w:rsid w:val="00CA5C18"/>
    <w:rsid w:val="00CA7DF7"/>
    <w:rsid w:val="00CD0F4C"/>
    <w:rsid w:val="00CE3796"/>
    <w:rsid w:val="00CE755D"/>
    <w:rsid w:val="00CF26A1"/>
    <w:rsid w:val="00D0226D"/>
    <w:rsid w:val="00D12CEA"/>
    <w:rsid w:val="00D17F9A"/>
    <w:rsid w:val="00D20007"/>
    <w:rsid w:val="00D42AA1"/>
    <w:rsid w:val="00D46E98"/>
    <w:rsid w:val="00D51F8B"/>
    <w:rsid w:val="00D671A6"/>
    <w:rsid w:val="00D85D53"/>
    <w:rsid w:val="00D87102"/>
    <w:rsid w:val="00DA4640"/>
    <w:rsid w:val="00DB1BDD"/>
    <w:rsid w:val="00DB28DF"/>
    <w:rsid w:val="00DD1B64"/>
    <w:rsid w:val="00DE4DB7"/>
    <w:rsid w:val="00DF390E"/>
    <w:rsid w:val="00DF4ACC"/>
    <w:rsid w:val="00DF7536"/>
    <w:rsid w:val="00E00F78"/>
    <w:rsid w:val="00E1448D"/>
    <w:rsid w:val="00E35123"/>
    <w:rsid w:val="00E360CF"/>
    <w:rsid w:val="00E505F4"/>
    <w:rsid w:val="00E55359"/>
    <w:rsid w:val="00E57813"/>
    <w:rsid w:val="00E802B1"/>
    <w:rsid w:val="00E820F5"/>
    <w:rsid w:val="00E836D2"/>
    <w:rsid w:val="00EB2A0E"/>
    <w:rsid w:val="00EC3F5D"/>
    <w:rsid w:val="00EC6486"/>
    <w:rsid w:val="00EF0B75"/>
    <w:rsid w:val="00F02711"/>
    <w:rsid w:val="00F07A38"/>
    <w:rsid w:val="00F36190"/>
    <w:rsid w:val="00F47D34"/>
    <w:rsid w:val="00F52F3B"/>
    <w:rsid w:val="00F60052"/>
    <w:rsid w:val="00F86EAA"/>
    <w:rsid w:val="00F974F3"/>
    <w:rsid w:val="00FC68C7"/>
    <w:rsid w:val="00FC7B30"/>
    <w:rsid w:val="00FD26E3"/>
    <w:rsid w:val="00FE21D2"/>
    <w:rsid w:val="00FE3258"/>
  </w:rsids>
  <m:mathPr>
    <m:mathFont m:val="Rockwell Extra Bol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C4"/>
  </w:style>
  <w:style w:type="paragraph" w:styleId="Heading3">
    <w:name w:val="heading 3"/>
    <w:basedOn w:val="Normal"/>
    <w:link w:val="Heading3Char"/>
    <w:uiPriority w:val="9"/>
    <w:qFormat/>
    <w:rsid w:val="00502458"/>
    <w:pPr>
      <w:spacing w:before="100" w:beforeAutospacing="1" w:after="100" w:afterAutospacing="1" w:line="240" w:lineRule="auto"/>
      <w:outlineLvl w:val="2"/>
    </w:pPr>
    <w:rPr>
      <w:rFonts w:ascii="Times New Roman" w:eastAsia="Times New Roman" w:hAnsi="Times New Roman" w:cs="Times New Roman"/>
      <w:color w:val="2350A0"/>
      <w:sz w:val="27"/>
      <w:szCs w:val="27"/>
      <w:lang w:eastAsia="en-GB"/>
    </w:rPr>
  </w:style>
  <w:style w:type="paragraph" w:styleId="Heading8">
    <w:name w:val="heading 8"/>
    <w:basedOn w:val="Normal"/>
    <w:next w:val="Normal"/>
    <w:link w:val="Heading8Char"/>
    <w:uiPriority w:val="9"/>
    <w:semiHidden/>
    <w:unhideWhenUsed/>
    <w:qFormat/>
    <w:rsid w:val="000A4D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AA"/>
    <w:rPr>
      <w:rFonts w:ascii="Tahoma" w:hAnsi="Tahoma" w:cs="Tahoma"/>
      <w:sz w:val="16"/>
      <w:szCs w:val="16"/>
    </w:rPr>
  </w:style>
  <w:style w:type="table" w:styleId="TableGrid">
    <w:name w:val="Table Grid"/>
    <w:basedOn w:val="TableNormal"/>
    <w:uiPriority w:val="59"/>
    <w:rsid w:val="005C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5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F63"/>
  </w:style>
  <w:style w:type="paragraph" w:styleId="Footer">
    <w:name w:val="footer"/>
    <w:basedOn w:val="Normal"/>
    <w:link w:val="FooterChar"/>
    <w:uiPriority w:val="99"/>
    <w:semiHidden/>
    <w:unhideWhenUsed/>
    <w:rsid w:val="00C85F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5F63"/>
  </w:style>
  <w:style w:type="paragraph" w:styleId="ListParagraph">
    <w:name w:val="List Paragraph"/>
    <w:basedOn w:val="Normal"/>
    <w:uiPriority w:val="34"/>
    <w:qFormat/>
    <w:rsid w:val="00C85F63"/>
    <w:pPr>
      <w:ind w:left="720"/>
      <w:contextualSpacing/>
    </w:pPr>
  </w:style>
  <w:style w:type="character" w:styleId="Hyperlink">
    <w:name w:val="Hyperlink"/>
    <w:basedOn w:val="DefaultParagraphFont"/>
    <w:uiPriority w:val="99"/>
    <w:unhideWhenUsed/>
    <w:rsid w:val="00CD0F4C"/>
    <w:rPr>
      <w:color w:val="0000FF" w:themeColor="hyperlink"/>
      <w:u w:val="single"/>
    </w:rPr>
  </w:style>
  <w:style w:type="character" w:styleId="FollowedHyperlink">
    <w:name w:val="FollowedHyperlink"/>
    <w:basedOn w:val="DefaultParagraphFont"/>
    <w:uiPriority w:val="99"/>
    <w:semiHidden/>
    <w:unhideWhenUsed/>
    <w:rsid w:val="00CD0F4C"/>
    <w:rPr>
      <w:color w:val="800080" w:themeColor="followedHyperlink"/>
      <w:u w:val="single"/>
    </w:rPr>
  </w:style>
  <w:style w:type="character" w:customStyle="1" w:styleId="Heading3Char">
    <w:name w:val="Heading 3 Char"/>
    <w:basedOn w:val="DefaultParagraphFont"/>
    <w:link w:val="Heading3"/>
    <w:uiPriority w:val="9"/>
    <w:rsid w:val="00502458"/>
    <w:rPr>
      <w:rFonts w:ascii="Times New Roman" w:eastAsia="Times New Roman" w:hAnsi="Times New Roman" w:cs="Times New Roman"/>
      <w:color w:val="2350A0"/>
      <w:sz w:val="27"/>
      <w:szCs w:val="27"/>
      <w:lang w:eastAsia="en-GB"/>
    </w:rPr>
  </w:style>
  <w:style w:type="paragraph" w:styleId="NormalWeb">
    <w:name w:val="Normal (Web)"/>
    <w:basedOn w:val="Normal"/>
    <w:uiPriority w:val="99"/>
    <w:unhideWhenUsed/>
    <w:rsid w:val="00502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next w:val="Normal"/>
    <w:uiPriority w:val="99"/>
    <w:rsid w:val="005D5173"/>
    <w:pPr>
      <w:autoSpaceDE w:val="0"/>
      <w:autoSpaceDN w:val="0"/>
      <w:adjustRightInd w:val="0"/>
      <w:spacing w:after="0" w:line="161" w:lineRule="atLeast"/>
    </w:pPr>
    <w:rPr>
      <w:rFonts w:ascii="NewsGoth BT" w:hAnsi="NewsGoth BT"/>
      <w:sz w:val="24"/>
      <w:szCs w:val="24"/>
      <w:lang w:val="en-IE"/>
    </w:rPr>
  </w:style>
  <w:style w:type="paragraph" w:customStyle="1" w:styleId="Indent">
    <w:name w:val="Indent"/>
    <w:basedOn w:val="Normal"/>
    <w:rsid w:val="003E56E9"/>
    <w:pPr>
      <w:spacing w:before="240" w:after="0" w:line="240" w:lineRule="auto"/>
      <w:ind w:left="360" w:hanging="360"/>
    </w:pPr>
    <w:rPr>
      <w:rFonts w:ascii="CG Times (W1)" w:eastAsia="Times New Roman" w:hAnsi="CG Times (W1)" w:cs="Times New Roman"/>
      <w:sz w:val="20"/>
      <w:szCs w:val="20"/>
      <w:lang w:eastAsia="en-GB"/>
    </w:rPr>
  </w:style>
  <w:style w:type="paragraph" w:styleId="CommentText">
    <w:name w:val="annotation text"/>
    <w:basedOn w:val="Normal"/>
    <w:link w:val="CommentTextChar"/>
    <w:uiPriority w:val="99"/>
    <w:semiHidden/>
    <w:unhideWhenUsed/>
    <w:rsid w:val="009F24C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9F24C9"/>
    <w:rPr>
      <w:rFonts w:asciiTheme="majorHAnsi" w:hAnsiTheme="majorHAnsi"/>
      <w:sz w:val="20"/>
      <w:szCs w:val="20"/>
    </w:rPr>
  </w:style>
  <w:style w:type="character" w:customStyle="1" w:styleId="Heading8Char">
    <w:name w:val="Heading 8 Char"/>
    <w:basedOn w:val="DefaultParagraphFont"/>
    <w:link w:val="Heading8"/>
    <w:uiPriority w:val="9"/>
    <w:semiHidden/>
    <w:rsid w:val="000A4D61"/>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C4"/>
  </w:style>
  <w:style w:type="paragraph" w:styleId="Heading3">
    <w:name w:val="heading 3"/>
    <w:basedOn w:val="Normal"/>
    <w:link w:val="Heading3Char"/>
    <w:uiPriority w:val="9"/>
    <w:qFormat/>
    <w:rsid w:val="00502458"/>
    <w:pPr>
      <w:spacing w:before="100" w:beforeAutospacing="1" w:after="100" w:afterAutospacing="1" w:line="240" w:lineRule="auto"/>
      <w:outlineLvl w:val="2"/>
    </w:pPr>
    <w:rPr>
      <w:rFonts w:ascii="Times New Roman" w:eastAsia="Times New Roman" w:hAnsi="Times New Roman" w:cs="Times New Roman"/>
      <w:color w:val="2350A0"/>
      <w:sz w:val="27"/>
      <w:szCs w:val="27"/>
      <w:lang w:eastAsia="en-GB"/>
    </w:rPr>
  </w:style>
  <w:style w:type="paragraph" w:styleId="Heading8">
    <w:name w:val="heading 8"/>
    <w:basedOn w:val="Normal"/>
    <w:next w:val="Normal"/>
    <w:link w:val="Heading8Char"/>
    <w:uiPriority w:val="9"/>
    <w:semiHidden/>
    <w:unhideWhenUsed/>
    <w:qFormat/>
    <w:rsid w:val="000A4D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AA"/>
    <w:rPr>
      <w:rFonts w:ascii="Tahoma" w:hAnsi="Tahoma" w:cs="Tahoma"/>
      <w:sz w:val="16"/>
      <w:szCs w:val="16"/>
    </w:rPr>
  </w:style>
  <w:style w:type="table" w:styleId="TableGrid">
    <w:name w:val="Table Grid"/>
    <w:basedOn w:val="TableNormal"/>
    <w:uiPriority w:val="59"/>
    <w:rsid w:val="005C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5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F63"/>
  </w:style>
  <w:style w:type="paragraph" w:styleId="Footer">
    <w:name w:val="footer"/>
    <w:basedOn w:val="Normal"/>
    <w:link w:val="FooterChar"/>
    <w:uiPriority w:val="99"/>
    <w:semiHidden/>
    <w:unhideWhenUsed/>
    <w:rsid w:val="00C85F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5F63"/>
  </w:style>
  <w:style w:type="paragraph" w:styleId="ListParagraph">
    <w:name w:val="List Paragraph"/>
    <w:basedOn w:val="Normal"/>
    <w:uiPriority w:val="34"/>
    <w:qFormat/>
    <w:rsid w:val="00C85F63"/>
    <w:pPr>
      <w:ind w:left="720"/>
      <w:contextualSpacing/>
    </w:pPr>
  </w:style>
  <w:style w:type="character" w:styleId="Hyperlink">
    <w:name w:val="Hyperlink"/>
    <w:basedOn w:val="DefaultParagraphFont"/>
    <w:uiPriority w:val="99"/>
    <w:unhideWhenUsed/>
    <w:rsid w:val="00CD0F4C"/>
    <w:rPr>
      <w:color w:val="0000FF" w:themeColor="hyperlink"/>
      <w:u w:val="single"/>
    </w:rPr>
  </w:style>
  <w:style w:type="character" w:styleId="FollowedHyperlink">
    <w:name w:val="FollowedHyperlink"/>
    <w:basedOn w:val="DefaultParagraphFont"/>
    <w:uiPriority w:val="99"/>
    <w:semiHidden/>
    <w:unhideWhenUsed/>
    <w:rsid w:val="00CD0F4C"/>
    <w:rPr>
      <w:color w:val="800080" w:themeColor="followedHyperlink"/>
      <w:u w:val="single"/>
    </w:rPr>
  </w:style>
  <w:style w:type="character" w:customStyle="1" w:styleId="Heading3Char">
    <w:name w:val="Heading 3 Char"/>
    <w:basedOn w:val="DefaultParagraphFont"/>
    <w:link w:val="Heading3"/>
    <w:uiPriority w:val="9"/>
    <w:rsid w:val="00502458"/>
    <w:rPr>
      <w:rFonts w:ascii="Times New Roman" w:eastAsia="Times New Roman" w:hAnsi="Times New Roman" w:cs="Times New Roman"/>
      <w:color w:val="2350A0"/>
      <w:sz w:val="27"/>
      <w:szCs w:val="27"/>
      <w:lang w:eastAsia="en-GB"/>
    </w:rPr>
  </w:style>
  <w:style w:type="paragraph" w:styleId="NormalWeb">
    <w:name w:val="Normal (Web)"/>
    <w:basedOn w:val="Normal"/>
    <w:uiPriority w:val="99"/>
    <w:semiHidden/>
    <w:unhideWhenUsed/>
    <w:rsid w:val="00502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next w:val="Normal"/>
    <w:uiPriority w:val="99"/>
    <w:rsid w:val="005D5173"/>
    <w:pPr>
      <w:autoSpaceDE w:val="0"/>
      <w:autoSpaceDN w:val="0"/>
      <w:adjustRightInd w:val="0"/>
      <w:spacing w:after="0" w:line="161" w:lineRule="atLeast"/>
    </w:pPr>
    <w:rPr>
      <w:rFonts w:ascii="NewsGoth BT" w:hAnsi="NewsGoth BT"/>
      <w:sz w:val="24"/>
      <w:szCs w:val="24"/>
      <w:lang w:val="en-IE"/>
    </w:rPr>
  </w:style>
  <w:style w:type="paragraph" w:customStyle="1" w:styleId="Indent">
    <w:name w:val="Indent"/>
    <w:basedOn w:val="Normal"/>
    <w:rsid w:val="003E56E9"/>
    <w:pPr>
      <w:spacing w:before="240" w:after="0" w:line="240" w:lineRule="auto"/>
      <w:ind w:left="360" w:hanging="360"/>
    </w:pPr>
    <w:rPr>
      <w:rFonts w:ascii="CG Times (W1)" w:eastAsia="Times New Roman" w:hAnsi="CG Times (W1)" w:cs="Times New Roman"/>
      <w:sz w:val="20"/>
      <w:szCs w:val="20"/>
      <w:lang w:eastAsia="en-GB"/>
    </w:rPr>
  </w:style>
  <w:style w:type="paragraph" w:styleId="CommentText">
    <w:name w:val="annotation text"/>
    <w:basedOn w:val="Normal"/>
    <w:link w:val="CommentTextChar"/>
    <w:uiPriority w:val="99"/>
    <w:semiHidden/>
    <w:unhideWhenUsed/>
    <w:rsid w:val="009F24C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9F24C9"/>
    <w:rPr>
      <w:rFonts w:asciiTheme="majorHAnsi" w:hAnsiTheme="majorHAnsi"/>
      <w:sz w:val="20"/>
      <w:szCs w:val="20"/>
    </w:rPr>
  </w:style>
  <w:style w:type="character" w:customStyle="1" w:styleId="Heading8Char">
    <w:name w:val="Heading 8 Char"/>
    <w:basedOn w:val="DefaultParagraphFont"/>
    <w:link w:val="Heading8"/>
    <w:uiPriority w:val="9"/>
    <w:semiHidden/>
    <w:rsid w:val="000A4D61"/>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00252453">
      <w:bodyDiv w:val="1"/>
      <w:marLeft w:val="0"/>
      <w:marRight w:val="0"/>
      <w:marTop w:val="0"/>
      <w:marBottom w:val="0"/>
      <w:divBdr>
        <w:top w:val="none" w:sz="0" w:space="0" w:color="auto"/>
        <w:left w:val="none" w:sz="0" w:space="0" w:color="auto"/>
        <w:bottom w:val="none" w:sz="0" w:space="0" w:color="auto"/>
        <w:right w:val="none" w:sz="0" w:space="0" w:color="auto"/>
      </w:divBdr>
      <w:divsChild>
        <w:div w:id="783118065">
          <w:marLeft w:val="0"/>
          <w:marRight w:val="0"/>
          <w:marTop w:val="0"/>
          <w:marBottom w:val="0"/>
          <w:divBdr>
            <w:top w:val="none" w:sz="0" w:space="0" w:color="auto"/>
            <w:left w:val="none" w:sz="0" w:space="0" w:color="auto"/>
            <w:bottom w:val="none" w:sz="0" w:space="0" w:color="auto"/>
            <w:right w:val="none" w:sz="0" w:space="0" w:color="auto"/>
          </w:divBdr>
          <w:divsChild>
            <w:div w:id="1766263186">
              <w:marLeft w:val="0"/>
              <w:marRight w:val="0"/>
              <w:marTop w:val="0"/>
              <w:marBottom w:val="0"/>
              <w:divBdr>
                <w:top w:val="none" w:sz="0" w:space="0" w:color="auto"/>
                <w:left w:val="none" w:sz="0" w:space="0" w:color="auto"/>
                <w:bottom w:val="none" w:sz="0" w:space="0" w:color="auto"/>
                <w:right w:val="none" w:sz="0" w:space="0" w:color="auto"/>
              </w:divBdr>
              <w:divsChild>
                <w:div w:id="17061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2490">
      <w:bodyDiv w:val="1"/>
      <w:marLeft w:val="0"/>
      <w:marRight w:val="0"/>
      <w:marTop w:val="0"/>
      <w:marBottom w:val="0"/>
      <w:divBdr>
        <w:top w:val="none" w:sz="0" w:space="0" w:color="auto"/>
        <w:left w:val="none" w:sz="0" w:space="0" w:color="auto"/>
        <w:bottom w:val="none" w:sz="0" w:space="0" w:color="auto"/>
        <w:right w:val="none" w:sz="0" w:space="0" w:color="auto"/>
      </w:divBdr>
      <w:divsChild>
        <w:div w:id="1731033839">
          <w:marLeft w:val="0"/>
          <w:marRight w:val="0"/>
          <w:marTop w:val="0"/>
          <w:marBottom w:val="0"/>
          <w:divBdr>
            <w:top w:val="none" w:sz="0" w:space="0" w:color="auto"/>
            <w:left w:val="none" w:sz="0" w:space="0" w:color="auto"/>
            <w:bottom w:val="none" w:sz="0" w:space="0" w:color="auto"/>
            <w:right w:val="none" w:sz="0" w:space="0" w:color="auto"/>
          </w:divBdr>
          <w:divsChild>
            <w:div w:id="898200553">
              <w:marLeft w:val="0"/>
              <w:marRight w:val="0"/>
              <w:marTop w:val="0"/>
              <w:marBottom w:val="0"/>
              <w:divBdr>
                <w:top w:val="none" w:sz="0" w:space="0" w:color="auto"/>
                <w:left w:val="none" w:sz="0" w:space="0" w:color="auto"/>
                <w:bottom w:val="none" w:sz="0" w:space="0" w:color="auto"/>
                <w:right w:val="none" w:sz="0" w:space="0" w:color="auto"/>
              </w:divBdr>
              <w:divsChild>
                <w:div w:id="1415275772">
                  <w:marLeft w:val="0"/>
                  <w:marRight w:val="0"/>
                  <w:marTop w:val="0"/>
                  <w:marBottom w:val="0"/>
                  <w:divBdr>
                    <w:top w:val="none" w:sz="0" w:space="0" w:color="auto"/>
                    <w:left w:val="none" w:sz="0" w:space="0" w:color="auto"/>
                    <w:bottom w:val="none" w:sz="0" w:space="0" w:color="auto"/>
                    <w:right w:val="none" w:sz="0" w:space="0" w:color="auto"/>
                  </w:divBdr>
                  <w:divsChild>
                    <w:div w:id="1267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2546">
      <w:bodyDiv w:val="1"/>
      <w:marLeft w:val="0"/>
      <w:marRight w:val="0"/>
      <w:marTop w:val="0"/>
      <w:marBottom w:val="0"/>
      <w:divBdr>
        <w:top w:val="none" w:sz="0" w:space="0" w:color="auto"/>
        <w:left w:val="none" w:sz="0" w:space="0" w:color="auto"/>
        <w:bottom w:val="none" w:sz="0" w:space="0" w:color="auto"/>
        <w:right w:val="none" w:sz="0" w:space="0" w:color="auto"/>
      </w:divBdr>
      <w:divsChild>
        <w:div w:id="394086717">
          <w:marLeft w:val="0"/>
          <w:marRight w:val="0"/>
          <w:marTop w:val="0"/>
          <w:marBottom w:val="0"/>
          <w:divBdr>
            <w:top w:val="none" w:sz="0" w:space="0" w:color="auto"/>
            <w:left w:val="none" w:sz="0" w:space="0" w:color="auto"/>
            <w:bottom w:val="none" w:sz="0" w:space="0" w:color="auto"/>
            <w:right w:val="none" w:sz="0" w:space="0" w:color="auto"/>
          </w:divBdr>
          <w:divsChild>
            <w:div w:id="250161058">
              <w:marLeft w:val="0"/>
              <w:marRight w:val="0"/>
              <w:marTop w:val="0"/>
              <w:marBottom w:val="0"/>
              <w:divBdr>
                <w:top w:val="none" w:sz="0" w:space="0" w:color="auto"/>
                <w:left w:val="none" w:sz="0" w:space="0" w:color="auto"/>
                <w:bottom w:val="none" w:sz="0" w:space="0" w:color="auto"/>
                <w:right w:val="none" w:sz="0" w:space="0" w:color="auto"/>
              </w:divBdr>
              <w:divsChild>
                <w:div w:id="631903511">
                  <w:marLeft w:val="0"/>
                  <w:marRight w:val="0"/>
                  <w:marTop w:val="0"/>
                  <w:marBottom w:val="0"/>
                  <w:divBdr>
                    <w:top w:val="none" w:sz="0" w:space="0" w:color="auto"/>
                    <w:left w:val="none" w:sz="0" w:space="0" w:color="auto"/>
                    <w:bottom w:val="none" w:sz="0" w:space="0" w:color="auto"/>
                    <w:right w:val="none" w:sz="0" w:space="0" w:color="auto"/>
                  </w:divBdr>
                  <w:divsChild>
                    <w:div w:id="3317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6677">
      <w:bodyDiv w:val="1"/>
      <w:marLeft w:val="0"/>
      <w:marRight w:val="0"/>
      <w:marTop w:val="0"/>
      <w:marBottom w:val="0"/>
      <w:divBdr>
        <w:top w:val="none" w:sz="0" w:space="0" w:color="auto"/>
        <w:left w:val="none" w:sz="0" w:space="0" w:color="auto"/>
        <w:bottom w:val="none" w:sz="0" w:space="0" w:color="auto"/>
        <w:right w:val="none" w:sz="0" w:space="0" w:color="auto"/>
      </w:divBdr>
    </w:div>
    <w:div w:id="21170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7D0F8-CA86-A64A-AB49-183EB606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5300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EUI LIMITED</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howellc</dc:creator>
  <cp:lastModifiedBy>Mark Boyles</cp:lastModifiedBy>
  <cp:revision>4</cp:revision>
  <cp:lastPrinted>2017-07-03T16:00:00Z</cp:lastPrinted>
  <dcterms:created xsi:type="dcterms:W3CDTF">2018-09-05T10:43:00Z</dcterms:created>
  <dcterms:modified xsi:type="dcterms:W3CDTF">2021-10-08T16:04:00Z</dcterms:modified>
</cp:coreProperties>
</file>